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
        </w:rPr>
        <w:t>1</w:t>
      </w:r>
    </w:p>
    <w:p>
      <w:pPr>
        <w:jc w:val="center"/>
        <w:rPr>
          <w:rFonts w:hint="eastAsia" w:ascii="方正小标宋简体" w:hAnsi="Arial" w:eastAsia="方正小标宋简体" w:cs="Arial"/>
          <w:sz w:val="36"/>
          <w:szCs w:val="44"/>
          <w:lang w:eastAsia="zh-CN"/>
        </w:rPr>
      </w:pPr>
    </w:p>
    <w:p>
      <w:pPr>
        <w:jc w:val="center"/>
        <w:rPr>
          <w:rFonts w:hint="eastAsia" w:ascii="方正小标宋简体" w:hAnsi="宋体" w:eastAsia="方正小标宋简体" w:cs="宋体"/>
          <w:sz w:val="44"/>
          <w:szCs w:val="52"/>
        </w:rPr>
      </w:pPr>
      <w:r>
        <w:rPr>
          <w:rFonts w:hint="eastAsia" w:ascii="方正小标宋简体" w:hAnsi="Arial" w:eastAsia="方正小标宋简体" w:cs="Arial"/>
          <w:sz w:val="44"/>
          <w:szCs w:val="52"/>
          <w:lang w:eastAsia="zh-CN"/>
        </w:rPr>
        <w:t>广西壮族自治区电信普遍服务</w:t>
      </w:r>
      <w:r>
        <w:rPr>
          <w:rFonts w:hint="eastAsia" w:ascii="方正小标宋简体" w:hAnsi="宋体" w:eastAsia="方正小标宋简体" w:cs="宋体"/>
          <w:sz w:val="44"/>
          <w:szCs w:val="52"/>
        </w:rPr>
        <w:t>转移支付</w:t>
      </w:r>
    </w:p>
    <w:p>
      <w:pPr>
        <w:jc w:val="center"/>
        <w:rPr>
          <w:rFonts w:hint="eastAsia" w:ascii="方正小标宋简体" w:hAnsi="宋体" w:eastAsia="方正小标宋简体" w:cs="宋体"/>
          <w:sz w:val="44"/>
          <w:szCs w:val="52"/>
        </w:rPr>
      </w:pPr>
      <w:r>
        <w:rPr>
          <w:rFonts w:hint="eastAsia" w:ascii="方正小标宋简体" w:hAnsi="Arial" w:eastAsia="方正小标宋简体" w:cs="Arial"/>
          <w:sz w:val="44"/>
          <w:szCs w:val="52"/>
          <w:lang w:eastAsia="zh-CN"/>
        </w:rPr>
        <w:t>资金20</w:t>
      </w:r>
      <w:r>
        <w:rPr>
          <w:rFonts w:hint="eastAsia" w:ascii="方正小标宋简体" w:hAnsi="Arial" w:eastAsia="方正小标宋简体" w:cs="Arial"/>
          <w:sz w:val="44"/>
          <w:szCs w:val="52"/>
          <w:lang w:val="en-US" w:eastAsia="zh-CN"/>
        </w:rPr>
        <w:t>20</w:t>
      </w:r>
      <w:r>
        <w:rPr>
          <w:rFonts w:hint="eastAsia" w:ascii="方正小标宋简体" w:hAnsi="Arial" w:eastAsia="方正小标宋简体" w:cs="Arial"/>
          <w:sz w:val="44"/>
          <w:szCs w:val="52"/>
          <w:lang w:eastAsia="zh-CN"/>
        </w:rPr>
        <w:t>年</w:t>
      </w:r>
      <w:r>
        <w:rPr>
          <w:rFonts w:hint="eastAsia" w:ascii="方正小标宋简体" w:hAnsi="宋体" w:eastAsia="方正小标宋简体" w:cs="宋体"/>
          <w:sz w:val="44"/>
          <w:szCs w:val="52"/>
        </w:rPr>
        <w:t>度绩效自评报告</w:t>
      </w:r>
    </w:p>
    <w:p>
      <w:pPr>
        <w:spacing w:line="560" w:lineRule="exact"/>
        <w:ind w:firstLine="640" w:firstLineChars="200"/>
        <w:rPr>
          <w:rFonts w:hint="eastAsia" w:ascii="仿宋_GB2312"/>
          <w:sz w:val="32"/>
          <w:szCs w:val="32"/>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一、基本情况</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（一）中央下达专项转移支付预算和绩效目标情况</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2020年6月，《工业和信息化部办公厅关于20</w:t>
      </w:r>
      <w:r>
        <w:rPr>
          <w:rFonts w:hint="eastAsia" w:ascii="仿宋_GB2312" w:hAnsi="仿宋_GB2312" w:eastAsia="仿宋_GB2312" w:cs="仿宋_GB2312"/>
          <w:sz w:val="32"/>
          <w:szCs w:val="32"/>
          <w:highlight w:val="none"/>
          <w:lang w:val="en-US" w:eastAsia="zh-CN"/>
        </w:rPr>
        <w:t>20年度电信普遍服务试点申报方案的复函》（工厅通信〔20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val="en-US" w:eastAsia="zh-CN"/>
        </w:rPr>
        <w:t>499号）确定广西</w:t>
      </w:r>
      <w:r>
        <w:rPr>
          <w:rFonts w:hint="eastAsia" w:ascii="仿宋_GB2312" w:hAnsi="仿宋_GB2312" w:eastAsia="仿宋_GB2312" w:cs="仿宋_GB2312"/>
          <w:sz w:val="32"/>
          <w:szCs w:val="32"/>
          <w:highlight w:val="none"/>
          <w:lang w:val="en-US" w:eastAsia="zh-CN"/>
        </w:rPr>
        <w:t>壮族自治区14个设区市为20</w:t>
      </w:r>
      <w:r>
        <w:rPr>
          <w:rFonts w:hint="eastAsia" w:ascii="仿宋_GB2312" w:hAnsi="仿宋_GB2312" w:eastAsia="仿宋_GB2312" w:cs="仿宋_GB2312"/>
          <w:sz w:val="32"/>
          <w:szCs w:val="32"/>
          <w:highlight w:val="none"/>
          <w:lang w:val="en-US" w:eastAsia="zh-CN"/>
        </w:rPr>
        <w:t>20年度电信普遍服务行政村项目试点地市，在</w:t>
      </w:r>
      <w:r>
        <w:rPr>
          <w:rFonts w:hint="eastAsia" w:ascii="仿宋_GB2312" w:hAnsi="仿宋_GB2312" w:eastAsia="仿宋_GB2312" w:cs="仿宋_GB2312"/>
          <w:sz w:val="32"/>
          <w:szCs w:val="32"/>
          <w:highlight w:val="none"/>
          <w:lang w:val="en-US" w:eastAsia="zh-CN"/>
        </w:rPr>
        <w:t>1343个行政村建设</w:t>
      </w:r>
      <w:r>
        <w:rPr>
          <w:rFonts w:hint="eastAsia" w:ascii="仿宋_GB2312" w:hAnsi="仿宋_GB2312" w:eastAsia="仿宋_GB2312" w:cs="仿宋_GB2312"/>
          <w:sz w:val="32"/>
          <w:szCs w:val="32"/>
          <w:highlight w:val="none"/>
          <w:lang w:val="en-US" w:eastAsia="zh-CN"/>
        </w:rPr>
        <w:t>1738个4G基站。确定广西壮族自治区防城港、百色、崇左等</w:t>
      </w:r>
      <w:r>
        <w:rPr>
          <w:rFonts w:hint="eastAsia" w:ascii="仿宋_GB2312" w:hAnsi="仿宋_GB2312" w:eastAsia="仿宋_GB2312" w:cs="仿宋_GB2312"/>
          <w:sz w:val="32"/>
          <w:szCs w:val="32"/>
          <w:highlight w:val="none"/>
          <w:lang w:val="en-US" w:eastAsia="zh-CN"/>
        </w:rPr>
        <w:t>3个设区市为20</w:t>
      </w:r>
      <w:r>
        <w:rPr>
          <w:rFonts w:hint="eastAsia" w:ascii="仿宋_GB2312" w:hAnsi="仿宋_GB2312" w:eastAsia="仿宋_GB2312" w:cs="仿宋_GB2312"/>
          <w:sz w:val="32"/>
          <w:szCs w:val="32"/>
          <w:highlight w:val="none"/>
          <w:lang w:val="en-US" w:eastAsia="zh-CN"/>
        </w:rPr>
        <w:t>20年度电信普遍服务边疆项目试点地市，在</w:t>
      </w:r>
      <w:r>
        <w:rPr>
          <w:rFonts w:hint="eastAsia" w:ascii="仿宋_GB2312" w:hAnsi="仿宋_GB2312" w:eastAsia="仿宋_GB2312" w:cs="仿宋_GB2312"/>
          <w:sz w:val="32"/>
          <w:szCs w:val="32"/>
          <w:highlight w:val="none"/>
          <w:lang w:val="en-US" w:eastAsia="zh-CN"/>
        </w:rPr>
        <w:t>边疆地区建设</w:t>
      </w:r>
      <w:r>
        <w:rPr>
          <w:rFonts w:hint="eastAsia" w:ascii="仿宋_GB2312" w:hAnsi="仿宋_GB2312" w:eastAsia="仿宋_GB2312" w:cs="仿宋_GB2312"/>
          <w:sz w:val="32"/>
          <w:szCs w:val="32"/>
          <w:highlight w:val="none"/>
          <w:lang w:val="en-US" w:eastAsia="zh-CN"/>
        </w:rPr>
        <w:t>76个4G基站（以下简称试点项目）。</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2020年6月5日，《财政部关于下达2020年电信普遍服务补助资金预算的通知》（财建〔</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val="en-US" w:eastAsia="zh-CN"/>
        </w:rPr>
        <w:t>169号）向广西壮族自治区下达中央财政补助资金21642万元，第三批电信普遍服务试点需退回资金1494万元，共计23136万元，用于开展获批试点项目建设。一同下达的还有绩效目标：中央补助资金及时到位，推进行政村4G网络建设，企业按合同要求完成建设任务。</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2020年11月，《工业和信息化部关于确定</w:t>
      </w:r>
      <w:r>
        <w:rPr>
          <w:rFonts w:hint="eastAsia" w:ascii="仿宋_GB2312" w:hAnsi="仿宋_GB2312" w:eastAsia="仿宋_GB2312" w:cs="仿宋_GB2312"/>
          <w:sz w:val="32"/>
          <w:szCs w:val="32"/>
          <w:highlight w:val="none"/>
          <w:lang w:val="en-US" w:eastAsia="zh-CN"/>
        </w:rPr>
        <w:t>2020年度电信普遍服务试点边疆项目承担企业的通知》（工信部通信函〔20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val="en-US" w:eastAsia="zh-CN"/>
        </w:rPr>
        <w:t>290号）：中国电信广西公司承建</w:t>
      </w:r>
      <w:r>
        <w:rPr>
          <w:rFonts w:hint="eastAsia" w:ascii="仿宋_GB2312" w:hAnsi="仿宋_GB2312" w:eastAsia="仿宋_GB2312" w:cs="仿宋_GB2312"/>
          <w:sz w:val="32"/>
          <w:szCs w:val="32"/>
          <w:highlight w:val="none"/>
          <w:lang w:val="en-US" w:eastAsia="zh-CN"/>
        </w:rPr>
        <w:t>5个边疆试点4G基站，中国移动广西有限公司承建</w:t>
      </w:r>
      <w:r>
        <w:rPr>
          <w:rFonts w:hint="eastAsia" w:ascii="仿宋_GB2312" w:hAnsi="仿宋_GB2312" w:eastAsia="仿宋_GB2312" w:cs="仿宋_GB2312"/>
          <w:sz w:val="32"/>
          <w:szCs w:val="32"/>
          <w:highlight w:val="none"/>
          <w:lang w:val="en-US" w:eastAsia="zh-CN"/>
        </w:rPr>
        <w:t>71个边疆试点4G基站</w:t>
      </w:r>
      <w:r>
        <w:rPr>
          <w:rFonts w:hint="default"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广西边疆地区4G基站建设中央财政补助资金2280万元，其中中国电信广西公司补助资金为</w:t>
      </w:r>
      <w:r>
        <w:rPr>
          <w:rFonts w:hint="eastAsia" w:ascii="仿宋_GB2312" w:hAnsi="仿宋_GB2312" w:eastAsia="仿宋_GB2312" w:cs="仿宋_GB2312"/>
          <w:sz w:val="32"/>
          <w:szCs w:val="32"/>
          <w:highlight w:val="none"/>
          <w:lang w:val="en-US" w:eastAsia="zh-CN"/>
        </w:rPr>
        <w:t>150万元，中国移动广西有限公司补助资金为</w:t>
      </w:r>
      <w:r>
        <w:rPr>
          <w:rFonts w:hint="eastAsia" w:ascii="仿宋_GB2312" w:hAnsi="仿宋_GB2312" w:eastAsia="仿宋_GB2312" w:cs="仿宋_GB2312"/>
          <w:sz w:val="32"/>
          <w:szCs w:val="32"/>
          <w:highlight w:val="none"/>
          <w:lang w:val="en-US" w:eastAsia="zh-CN"/>
        </w:rPr>
        <w:t>2130万元。</w:t>
      </w:r>
    </w:p>
    <w:p>
      <w:pPr>
        <w:numPr>
          <w:ilvl w:val="0"/>
          <w:numId w:val="1"/>
        </w:num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省内分解下达预算和绩效目标情况</w:t>
      </w:r>
    </w:p>
    <w:p>
      <w:pPr>
        <w:numPr>
          <w:ilvl w:val="0"/>
          <w:numId w:val="0"/>
        </w:numPr>
        <w:spacing w:line="560" w:lineRule="exact"/>
        <w:rPr>
          <w:rFonts w:hint="eastAsia" w:ascii="仿宋_GB2312" w:hAnsi="仿宋_GB2312" w:eastAsia="仿宋_GB2312" w:cs="仿宋_GB2312"/>
          <w:sz w:val="32"/>
          <w:szCs w:val="32"/>
          <w:lang w:val="en-US" w:eastAsia="zh-CN"/>
        </w:rPr>
      </w:pPr>
      <w:r>
        <w:rPr>
          <w:rFonts w:hint="eastAsia" w:ascii="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1.试点项目招投标情况。工业和信息化部、财政部批复试点项目后，自治区通信管理局会同财政厅委托招标代理机构按照相关法律和程序开展试点行政村项目招投标工作。2020年</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，试点项目开标和评标。试点项目中标金额18770.4万元，招标剩余资金2085.6万元。各标段中标企业及中标金额如下：</w:t>
      </w:r>
    </w:p>
    <w:p>
      <w:pPr>
        <w:numPr>
          <w:ilvl w:val="0"/>
          <w:numId w:val="0"/>
        </w:numPr>
        <w:spacing w:line="560" w:lineRule="exact"/>
        <w:rPr>
          <w:rFonts w:hint="eastAsia" w:ascii="仿宋_GB2312" w:hAnsi="仿宋_GB2312" w:eastAsia="仿宋_GB2312" w:cs="仿宋_GB2312"/>
          <w:sz w:val="32"/>
          <w:szCs w:val="32"/>
          <w:lang w:val="en-US" w:eastAsia="zh-CN"/>
        </w:rPr>
      </w:pPr>
    </w:p>
    <w:tbl>
      <w:tblPr>
        <w:tblStyle w:val="4"/>
        <w:tblW w:w="8620" w:type="dxa"/>
        <w:jc w:val="center"/>
        <w:tblLayout w:type="fixed"/>
        <w:tblCellMar>
          <w:top w:w="0" w:type="dxa"/>
          <w:left w:w="0" w:type="dxa"/>
          <w:bottom w:w="0" w:type="dxa"/>
          <w:right w:w="0" w:type="dxa"/>
        </w:tblCellMar>
      </w:tblPr>
      <w:tblGrid>
        <w:gridCol w:w="690"/>
        <w:gridCol w:w="2576"/>
        <w:gridCol w:w="1260"/>
        <w:gridCol w:w="1785"/>
        <w:gridCol w:w="1079"/>
        <w:gridCol w:w="1230"/>
      </w:tblGrid>
      <w:tr>
        <w:tblPrEx>
          <w:tblCellMar>
            <w:top w:w="0" w:type="dxa"/>
            <w:left w:w="0" w:type="dxa"/>
            <w:bottom w:w="0" w:type="dxa"/>
            <w:right w:w="0" w:type="dxa"/>
          </w:tblCellMar>
        </w:tblPrEx>
        <w:trPr>
          <w:trHeight w:val="615" w:hRule="atLeast"/>
          <w:jc w:val="center"/>
        </w:trPr>
        <w:tc>
          <w:tcPr>
            <w:tcW w:w="69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中标企业</w:t>
            </w:r>
          </w:p>
        </w:tc>
        <w:tc>
          <w:tcPr>
            <w:tcW w:w="257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分标</w:t>
            </w:r>
          </w:p>
        </w:tc>
        <w:tc>
          <w:tcPr>
            <w:tcW w:w="12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w:t>
            </w:r>
            <w:r>
              <w:rPr>
                <w:rStyle w:val="7"/>
                <w:rFonts w:eastAsia="宋体"/>
                <w:lang w:val="en-US" w:eastAsia="zh-CN" w:bidi="ar"/>
              </w:rPr>
              <w:t>4G</w:t>
            </w:r>
            <w:r>
              <w:rPr>
                <w:rStyle w:val="8"/>
                <w:lang w:val="en-US" w:eastAsia="zh-CN" w:bidi="ar"/>
              </w:rPr>
              <w:t>基站数（个）</w:t>
            </w:r>
          </w:p>
        </w:tc>
        <w:tc>
          <w:tcPr>
            <w:tcW w:w="178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中央财政资金补贴上限（万元）</w:t>
            </w:r>
          </w:p>
        </w:tc>
        <w:tc>
          <w:tcPr>
            <w:tcW w:w="107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中标价</w:t>
            </w:r>
          </w:p>
        </w:tc>
        <w:tc>
          <w:tcPr>
            <w:tcW w:w="123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招标结余</w:t>
            </w:r>
          </w:p>
        </w:tc>
      </w:tr>
      <w:tr>
        <w:tblPrEx>
          <w:tblCellMar>
            <w:top w:w="0" w:type="dxa"/>
            <w:left w:w="0" w:type="dxa"/>
            <w:bottom w:w="0" w:type="dxa"/>
            <w:right w:w="0" w:type="dxa"/>
          </w:tblCellMar>
        </w:tblPrEx>
        <w:trPr>
          <w:trHeight w:val="960" w:hRule="atLeast"/>
          <w:jc w:val="center"/>
        </w:trPr>
        <w:tc>
          <w:tcPr>
            <w:tcW w:w="69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电信</w:t>
            </w:r>
          </w:p>
        </w:tc>
        <w:tc>
          <w:tcPr>
            <w:tcW w:w="257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A</w:t>
            </w:r>
            <w:r>
              <w:rPr>
                <w:rStyle w:val="8"/>
                <w:lang w:val="en-US" w:eastAsia="zh-CN" w:bidi="ar"/>
              </w:rPr>
              <w:t>分标：南宁</w:t>
            </w:r>
            <w:r>
              <w:rPr>
                <w:rStyle w:val="7"/>
                <w:rFonts w:eastAsia="宋体"/>
                <w:lang w:val="en-US" w:eastAsia="zh-CN" w:bidi="ar"/>
              </w:rPr>
              <w:t>1</w:t>
            </w:r>
            <w:r>
              <w:rPr>
                <w:rStyle w:val="8"/>
                <w:lang w:val="en-US" w:eastAsia="zh-CN" w:bidi="ar"/>
              </w:rPr>
              <w:t>、桂林</w:t>
            </w:r>
            <w:r>
              <w:rPr>
                <w:rStyle w:val="7"/>
                <w:rFonts w:eastAsia="宋体"/>
                <w:lang w:val="en-US" w:eastAsia="zh-CN" w:bidi="ar"/>
              </w:rPr>
              <w:t>2</w:t>
            </w:r>
            <w:r>
              <w:rPr>
                <w:rStyle w:val="8"/>
                <w:lang w:val="en-US" w:eastAsia="zh-CN" w:bidi="ar"/>
              </w:rPr>
              <w:t>、钦州</w:t>
            </w:r>
            <w:r>
              <w:rPr>
                <w:rStyle w:val="7"/>
                <w:rFonts w:eastAsia="宋体"/>
                <w:lang w:val="en-US" w:eastAsia="zh-CN" w:bidi="ar"/>
              </w:rPr>
              <w:t>1</w:t>
            </w:r>
            <w:r>
              <w:rPr>
                <w:rStyle w:val="8"/>
                <w:lang w:val="en-US" w:eastAsia="zh-CN" w:bidi="ar"/>
              </w:rPr>
              <w:t>、贵港</w:t>
            </w:r>
            <w:r>
              <w:rPr>
                <w:rStyle w:val="7"/>
                <w:rFonts w:eastAsia="宋体"/>
                <w:lang w:val="en-US" w:eastAsia="zh-CN" w:bidi="ar"/>
              </w:rPr>
              <w:t>1</w:t>
            </w:r>
            <w:r>
              <w:rPr>
                <w:rStyle w:val="8"/>
                <w:lang w:val="en-US" w:eastAsia="zh-CN" w:bidi="ar"/>
              </w:rPr>
              <w:t>、贺州</w:t>
            </w:r>
            <w:r>
              <w:rPr>
                <w:rStyle w:val="7"/>
                <w:rFonts w:eastAsia="宋体"/>
                <w:lang w:val="en-US" w:eastAsia="zh-CN" w:bidi="ar"/>
              </w:rPr>
              <w:t>1</w:t>
            </w:r>
            <w:r>
              <w:rPr>
                <w:rStyle w:val="8"/>
                <w:lang w:val="en-US" w:eastAsia="zh-CN" w:bidi="ar"/>
              </w:rPr>
              <w:t>、河池</w:t>
            </w:r>
            <w:r>
              <w:rPr>
                <w:rStyle w:val="7"/>
                <w:rFonts w:eastAsia="宋体"/>
                <w:lang w:val="en-US" w:eastAsia="zh-CN" w:bidi="ar"/>
              </w:rPr>
              <w:t>2</w:t>
            </w:r>
            <w:r>
              <w:rPr>
                <w:rStyle w:val="8"/>
                <w:lang w:val="en-US" w:eastAsia="zh-CN" w:bidi="ar"/>
              </w:rPr>
              <w:t>、柳州</w:t>
            </w:r>
            <w:r>
              <w:rPr>
                <w:rStyle w:val="7"/>
                <w:rFonts w:eastAsia="宋体"/>
                <w:lang w:val="en-US" w:eastAsia="zh-CN" w:bidi="ar"/>
              </w:rPr>
              <w:t>1</w:t>
            </w:r>
            <w:r>
              <w:rPr>
                <w:rStyle w:val="8"/>
                <w:lang w:val="en-US" w:eastAsia="zh-CN" w:bidi="ar"/>
              </w:rPr>
              <w:t>、玉林</w:t>
            </w:r>
            <w:r>
              <w:rPr>
                <w:rStyle w:val="7"/>
                <w:rFonts w:eastAsia="宋体"/>
                <w:lang w:val="en-US" w:eastAsia="zh-CN" w:bidi="ar"/>
              </w:rPr>
              <w:t>1</w:t>
            </w:r>
            <w:r>
              <w:rPr>
                <w:rStyle w:val="8"/>
                <w:lang w:val="en-US" w:eastAsia="zh-CN" w:bidi="ar"/>
              </w:rPr>
              <w:t>、北海</w:t>
            </w:r>
            <w:r>
              <w:rPr>
                <w:rStyle w:val="7"/>
                <w:rFonts w:eastAsia="宋体"/>
                <w:lang w:val="en-US" w:eastAsia="zh-CN" w:bidi="ar"/>
              </w:rPr>
              <w:t>2</w:t>
            </w:r>
            <w:r>
              <w:rPr>
                <w:rStyle w:val="8"/>
                <w:lang w:val="en-US" w:eastAsia="zh-CN" w:bidi="ar"/>
              </w:rPr>
              <w:t>、梧州</w:t>
            </w:r>
            <w:r>
              <w:rPr>
                <w:rStyle w:val="7"/>
                <w:rFonts w:eastAsia="宋体"/>
                <w:lang w:val="en-US" w:eastAsia="zh-CN" w:bidi="ar"/>
              </w:rPr>
              <w:t>1</w:t>
            </w:r>
            <w:r>
              <w:rPr>
                <w:rStyle w:val="8"/>
                <w:lang w:val="en-US" w:eastAsia="zh-CN" w:bidi="ar"/>
              </w:rPr>
              <w:t>、防城港</w:t>
            </w:r>
            <w:r>
              <w:rPr>
                <w:rStyle w:val="7"/>
                <w:rFonts w:eastAsia="宋体"/>
                <w:lang w:val="en-US" w:eastAsia="zh-CN" w:bidi="ar"/>
              </w:rPr>
              <w:t>2</w:t>
            </w:r>
            <w:r>
              <w:rPr>
                <w:rStyle w:val="8"/>
                <w:lang w:val="en-US" w:eastAsia="zh-CN" w:bidi="ar"/>
              </w:rPr>
              <w:t>、百色</w:t>
            </w:r>
            <w:r>
              <w:rPr>
                <w:rStyle w:val="7"/>
                <w:rFonts w:eastAsia="宋体"/>
                <w:lang w:val="en-US" w:eastAsia="zh-CN" w:bidi="ar"/>
              </w:rPr>
              <w:t>1</w:t>
            </w:r>
            <w:r>
              <w:rPr>
                <w:rStyle w:val="8"/>
                <w:lang w:val="en-US" w:eastAsia="zh-CN" w:bidi="ar"/>
              </w:rPr>
              <w:t>、来宾</w:t>
            </w:r>
            <w:r>
              <w:rPr>
                <w:rStyle w:val="7"/>
                <w:rFonts w:eastAsia="宋体"/>
                <w:lang w:val="en-US" w:eastAsia="zh-CN" w:bidi="ar"/>
              </w:rPr>
              <w:t>1</w:t>
            </w:r>
            <w:r>
              <w:rPr>
                <w:rStyle w:val="8"/>
                <w:lang w:val="en-US" w:eastAsia="zh-CN" w:bidi="ar"/>
              </w:rPr>
              <w:t>、崇左</w:t>
            </w:r>
            <w:r>
              <w:rPr>
                <w:rStyle w:val="7"/>
                <w:rFonts w:eastAsia="宋体"/>
                <w:lang w:val="en-US" w:eastAsia="zh-CN" w:bidi="ar"/>
              </w:rPr>
              <w:t>1</w:t>
            </w:r>
          </w:p>
        </w:tc>
        <w:tc>
          <w:tcPr>
            <w:tcW w:w="126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866</w:t>
            </w:r>
          </w:p>
        </w:tc>
        <w:tc>
          <w:tcPr>
            <w:tcW w:w="178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10392</w:t>
            </w:r>
          </w:p>
        </w:tc>
        <w:tc>
          <w:tcPr>
            <w:tcW w:w="107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9352.8</w:t>
            </w:r>
          </w:p>
        </w:tc>
        <w:tc>
          <w:tcPr>
            <w:tcW w:w="123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val="en-US" w:eastAsia="zh-CN"/>
              </w:rPr>
              <w:t>1039.2</w:t>
            </w:r>
          </w:p>
        </w:tc>
      </w:tr>
      <w:tr>
        <w:tblPrEx>
          <w:tblCellMar>
            <w:top w:w="0" w:type="dxa"/>
            <w:left w:w="0" w:type="dxa"/>
            <w:bottom w:w="0" w:type="dxa"/>
            <w:right w:w="0" w:type="dxa"/>
          </w:tblCellMar>
        </w:tblPrEx>
        <w:trPr>
          <w:trHeight w:val="960" w:hRule="atLeast"/>
          <w:jc w:val="center"/>
        </w:trPr>
        <w:tc>
          <w:tcPr>
            <w:tcW w:w="69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移动</w:t>
            </w:r>
          </w:p>
        </w:tc>
        <w:tc>
          <w:tcPr>
            <w:tcW w:w="257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B</w:t>
            </w:r>
            <w:r>
              <w:rPr>
                <w:rStyle w:val="8"/>
                <w:lang w:val="en-US" w:eastAsia="zh-CN" w:bidi="ar"/>
              </w:rPr>
              <w:t>分标：南宁</w:t>
            </w:r>
            <w:r>
              <w:rPr>
                <w:rStyle w:val="7"/>
                <w:rFonts w:eastAsia="宋体"/>
                <w:lang w:val="en-US" w:eastAsia="zh-CN" w:bidi="ar"/>
              </w:rPr>
              <w:t>2</w:t>
            </w:r>
            <w:r>
              <w:rPr>
                <w:rStyle w:val="8"/>
                <w:lang w:val="en-US" w:eastAsia="zh-CN" w:bidi="ar"/>
              </w:rPr>
              <w:t>、桂林</w:t>
            </w:r>
            <w:r>
              <w:rPr>
                <w:rStyle w:val="7"/>
                <w:rFonts w:eastAsia="宋体"/>
                <w:lang w:val="en-US" w:eastAsia="zh-CN" w:bidi="ar"/>
              </w:rPr>
              <w:t>1</w:t>
            </w:r>
            <w:r>
              <w:rPr>
                <w:rStyle w:val="8"/>
                <w:lang w:val="en-US" w:eastAsia="zh-CN" w:bidi="ar"/>
              </w:rPr>
              <w:t>、钦州</w:t>
            </w:r>
            <w:r>
              <w:rPr>
                <w:rStyle w:val="7"/>
                <w:rFonts w:eastAsia="宋体"/>
                <w:lang w:val="en-US" w:eastAsia="zh-CN" w:bidi="ar"/>
              </w:rPr>
              <w:t>2</w:t>
            </w:r>
            <w:r>
              <w:rPr>
                <w:rStyle w:val="8"/>
                <w:lang w:val="en-US" w:eastAsia="zh-CN" w:bidi="ar"/>
              </w:rPr>
              <w:t>、贵港</w:t>
            </w:r>
            <w:r>
              <w:rPr>
                <w:rStyle w:val="7"/>
                <w:rFonts w:eastAsia="宋体"/>
                <w:lang w:val="en-US" w:eastAsia="zh-CN" w:bidi="ar"/>
              </w:rPr>
              <w:t>2</w:t>
            </w:r>
            <w:r>
              <w:rPr>
                <w:rStyle w:val="8"/>
                <w:lang w:val="en-US" w:eastAsia="zh-CN" w:bidi="ar"/>
              </w:rPr>
              <w:t>、贺州</w:t>
            </w:r>
            <w:r>
              <w:rPr>
                <w:rStyle w:val="7"/>
                <w:rFonts w:eastAsia="宋体"/>
                <w:lang w:val="en-US" w:eastAsia="zh-CN" w:bidi="ar"/>
              </w:rPr>
              <w:t>2</w:t>
            </w:r>
            <w:r>
              <w:rPr>
                <w:rStyle w:val="8"/>
                <w:lang w:val="en-US" w:eastAsia="zh-CN" w:bidi="ar"/>
              </w:rPr>
              <w:t>、河池</w:t>
            </w:r>
            <w:r>
              <w:rPr>
                <w:rStyle w:val="7"/>
                <w:rFonts w:eastAsia="宋体"/>
                <w:lang w:val="en-US" w:eastAsia="zh-CN" w:bidi="ar"/>
              </w:rPr>
              <w:t>1</w:t>
            </w:r>
            <w:r>
              <w:rPr>
                <w:rStyle w:val="8"/>
                <w:lang w:val="en-US" w:eastAsia="zh-CN" w:bidi="ar"/>
              </w:rPr>
              <w:t>、柳州</w:t>
            </w:r>
            <w:r>
              <w:rPr>
                <w:rStyle w:val="7"/>
                <w:rFonts w:eastAsia="宋体"/>
                <w:lang w:val="en-US" w:eastAsia="zh-CN" w:bidi="ar"/>
              </w:rPr>
              <w:t>2</w:t>
            </w:r>
            <w:r>
              <w:rPr>
                <w:rStyle w:val="8"/>
                <w:lang w:val="en-US" w:eastAsia="zh-CN" w:bidi="ar"/>
              </w:rPr>
              <w:t>、玉林</w:t>
            </w:r>
            <w:r>
              <w:rPr>
                <w:rStyle w:val="7"/>
                <w:rFonts w:eastAsia="宋体"/>
                <w:lang w:val="en-US" w:eastAsia="zh-CN" w:bidi="ar"/>
              </w:rPr>
              <w:t>2</w:t>
            </w:r>
            <w:r>
              <w:rPr>
                <w:rStyle w:val="8"/>
                <w:lang w:val="en-US" w:eastAsia="zh-CN" w:bidi="ar"/>
              </w:rPr>
              <w:t>、北海</w:t>
            </w:r>
            <w:r>
              <w:rPr>
                <w:rStyle w:val="7"/>
                <w:rFonts w:eastAsia="宋体"/>
                <w:lang w:val="en-US" w:eastAsia="zh-CN" w:bidi="ar"/>
              </w:rPr>
              <w:t>1</w:t>
            </w:r>
            <w:r>
              <w:rPr>
                <w:rStyle w:val="8"/>
                <w:lang w:val="en-US" w:eastAsia="zh-CN" w:bidi="ar"/>
              </w:rPr>
              <w:t>、梧州</w:t>
            </w:r>
            <w:r>
              <w:rPr>
                <w:rStyle w:val="7"/>
                <w:rFonts w:eastAsia="宋体"/>
                <w:lang w:val="en-US" w:eastAsia="zh-CN" w:bidi="ar"/>
              </w:rPr>
              <w:t>2</w:t>
            </w:r>
            <w:r>
              <w:rPr>
                <w:rStyle w:val="8"/>
                <w:lang w:val="en-US" w:eastAsia="zh-CN" w:bidi="ar"/>
              </w:rPr>
              <w:t>、防城港</w:t>
            </w:r>
            <w:r>
              <w:rPr>
                <w:rStyle w:val="7"/>
                <w:rFonts w:eastAsia="宋体"/>
                <w:lang w:val="en-US" w:eastAsia="zh-CN" w:bidi="ar"/>
              </w:rPr>
              <w:t>1</w:t>
            </w:r>
            <w:r>
              <w:rPr>
                <w:rStyle w:val="8"/>
                <w:lang w:val="en-US" w:eastAsia="zh-CN" w:bidi="ar"/>
              </w:rPr>
              <w:t>、百色</w:t>
            </w:r>
            <w:r>
              <w:rPr>
                <w:rStyle w:val="7"/>
                <w:rFonts w:eastAsia="宋体"/>
                <w:lang w:val="en-US" w:eastAsia="zh-CN" w:bidi="ar"/>
              </w:rPr>
              <w:t>2</w:t>
            </w:r>
            <w:r>
              <w:rPr>
                <w:rStyle w:val="8"/>
                <w:lang w:val="en-US" w:eastAsia="zh-CN" w:bidi="ar"/>
              </w:rPr>
              <w:t>、来宾</w:t>
            </w:r>
            <w:r>
              <w:rPr>
                <w:rStyle w:val="7"/>
                <w:rFonts w:eastAsia="宋体"/>
                <w:lang w:val="en-US" w:eastAsia="zh-CN" w:bidi="ar"/>
              </w:rPr>
              <w:t>2</w:t>
            </w:r>
            <w:r>
              <w:rPr>
                <w:rStyle w:val="8"/>
                <w:lang w:val="en-US" w:eastAsia="zh-CN" w:bidi="ar"/>
              </w:rPr>
              <w:t>、崇左</w:t>
            </w:r>
            <w:r>
              <w:rPr>
                <w:rStyle w:val="7"/>
                <w:rFonts w:eastAsia="宋体"/>
                <w:lang w:val="en-US" w:eastAsia="zh-CN" w:bidi="ar"/>
              </w:rPr>
              <w:t>2</w:t>
            </w:r>
          </w:p>
        </w:tc>
        <w:tc>
          <w:tcPr>
            <w:tcW w:w="126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872</w:t>
            </w:r>
          </w:p>
        </w:tc>
        <w:tc>
          <w:tcPr>
            <w:tcW w:w="178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10464</w:t>
            </w:r>
          </w:p>
        </w:tc>
        <w:tc>
          <w:tcPr>
            <w:tcW w:w="107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val="en-US" w:eastAsia="zh-CN"/>
              </w:rPr>
              <w:t>9417.6</w:t>
            </w:r>
          </w:p>
        </w:tc>
        <w:tc>
          <w:tcPr>
            <w:tcW w:w="123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val="en-US" w:eastAsia="zh-CN"/>
              </w:rPr>
              <w:t>1046.4</w:t>
            </w:r>
          </w:p>
        </w:tc>
      </w:tr>
      <w:tr>
        <w:tblPrEx>
          <w:tblCellMar>
            <w:top w:w="0" w:type="dxa"/>
            <w:left w:w="0" w:type="dxa"/>
            <w:bottom w:w="0" w:type="dxa"/>
            <w:right w:w="0" w:type="dxa"/>
          </w:tblCellMar>
        </w:tblPrEx>
        <w:trPr>
          <w:trHeight w:val="330" w:hRule="atLeast"/>
          <w:jc w:val="center"/>
        </w:trPr>
        <w:tc>
          <w:tcPr>
            <w:tcW w:w="3266" w:type="dxa"/>
            <w:gridSpan w:val="2"/>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60"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1738</w:t>
            </w:r>
          </w:p>
        </w:tc>
        <w:tc>
          <w:tcPr>
            <w:tcW w:w="1785"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20856</w:t>
            </w:r>
          </w:p>
        </w:tc>
        <w:tc>
          <w:tcPr>
            <w:tcW w:w="1079"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18770.4</w:t>
            </w:r>
          </w:p>
        </w:tc>
        <w:tc>
          <w:tcPr>
            <w:tcW w:w="1230"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2085.6</w:t>
            </w:r>
          </w:p>
        </w:tc>
      </w:tr>
    </w:tbl>
    <w:p>
      <w:pPr>
        <w:numPr>
          <w:ilvl w:val="0"/>
          <w:numId w:val="0"/>
        </w:numPr>
        <w:spacing w:line="500" w:lineRule="exact"/>
        <w:ind w:firstLine="0" w:firstLineChars="0"/>
        <w:rPr>
          <w:rFonts w:hint="eastAsia" w:ascii="仿宋_GB2312"/>
          <w:sz w:val="32"/>
          <w:szCs w:val="32"/>
          <w:lang w:val="en-US" w:eastAsia="zh-CN"/>
        </w:rPr>
      </w:pPr>
    </w:p>
    <w:p>
      <w:pPr>
        <w:numPr>
          <w:ilvl w:val="0"/>
          <w:numId w:val="0"/>
        </w:numPr>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2.合同签署情况。2020年10月30日与项目中标企业签署政府采购合同，</w:t>
      </w:r>
      <w:r>
        <w:rPr>
          <w:rFonts w:hint="default" w:ascii="仿宋_GB2312" w:hAnsi="仿宋_GB2312" w:eastAsia="仿宋_GB2312" w:cs="仿宋_GB2312"/>
          <w:sz w:val="32"/>
          <w:szCs w:val="32"/>
          <w:lang w:val="en" w:eastAsia="zh-CN"/>
        </w:rPr>
        <w:t>约定</w:t>
      </w:r>
      <w:r>
        <w:rPr>
          <w:rFonts w:hint="eastAsia" w:ascii="仿宋_GB2312" w:hAnsi="仿宋_GB2312" w:eastAsia="仿宋_GB2312" w:cs="仿宋_GB2312"/>
          <w:sz w:val="32"/>
          <w:szCs w:val="32"/>
          <w:lang w:val="en-US" w:eastAsia="zh-CN"/>
        </w:rPr>
        <w:t>中标电信企业</w:t>
      </w:r>
      <w:r>
        <w:rPr>
          <w:rFonts w:hint="default" w:ascii="仿宋_GB2312" w:hAnsi="仿宋_GB2312" w:eastAsia="仿宋_GB2312" w:cs="仿宋_GB2312"/>
          <w:sz w:val="32"/>
          <w:szCs w:val="32"/>
          <w:lang w:val="en" w:eastAsia="zh-CN"/>
        </w:rPr>
        <w:t>应</w:t>
      </w:r>
      <w:r>
        <w:rPr>
          <w:rFonts w:hint="eastAsia" w:ascii="仿宋_GB2312" w:hAnsi="仿宋_GB2312" w:eastAsia="仿宋_GB2312" w:cs="仿宋_GB2312"/>
          <w:sz w:val="32"/>
          <w:szCs w:val="32"/>
          <w:lang w:val="en-US" w:eastAsia="zh-CN"/>
        </w:rPr>
        <w:t>在合同签署后1年内完成</w:t>
      </w:r>
      <w:r>
        <w:rPr>
          <w:rFonts w:hint="eastAsia" w:ascii="仿宋_GB2312" w:hAnsi="仿宋_GB2312" w:eastAsia="仿宋_GB2312" w:cs="仿宋_GB2312"/>
          <w:sz w:val="32"/>
          <w:szCs w:val="32"/>
        </w:rPr>
        <w:t>建设任务。</w:t>
      </w:r>
      <w:r>
        <w:rPr>
          <w:rFonts w:hint="eastAsia" w:ascii="仿宋_GB2312" w:hAnsi="仿宋_GB2312" w:eastAsia="仿宋_GB2312" w:cs="仿宋_GB2312"/>
          <w:sz w:val="32"/>
          <w:szCs w:val="32"/>
          <w:lang w:eastAsia="zh-CN"/>
        </w:rPr>
        <w:t>相关试点地市人民政府与中标电信企业签订试点项目协议。</w:t>
      </w:r>
    </w:p>
    <w:p>
      <w:pPr>
        <w:spacing w:line="480" w:lineRule="exact"/>
        <w:ind w:firstLine="640" w:firstLineChars="200"/>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rPr>
        <w:t>二、绩效</w:t>
      </w:r>
      <w:r>
        <w:rPr>
          <w:rFonts w:hint="eastAsia" w:ascii="黑体" w:hAnsi="黑体" w:eastAsia="黑体" w:cs="黑体"/>
          <w:bCs/>
          <w:sz w:val="32"/>
          <w:szCs w:val="32"/>
          <w:highlight w:val="none"/>
          <w:lang w:eastAsia="zh-CN"/>
        </w:rPr>
        <w:t>目标完成情况分析</w:t>
      </w:r>
    </w:p>
    <w:p>
      <w:pPr>
        <w:spacing w:line="48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（一）前期准备</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为确保试点项目招投标、合同签订、资金拨付等前期工作的顺利开展，</w:t>
      </w:r>
      <w:r>
        <w:rPr>
          <w:rFonts w:hint="default" w:ascii="仿宋_GB2312" w:hAnsi="仿宋_GB2312" w:eastAsia="仿宋_GB2312" w:cs="仿宋_GB2312"/>
          <w:sz w:val="32"/>
          <w:szCs w:val="32"/>
          <w:highlight w:val="none"/>
          <w:lang w:val="en" w:eastAsia="zh-CN"/>
        </w:rPr>
        <w:t>依法依规</w:t>
      </w:r>
      <w:r>
        <w:rPr>
          <w:rFonts w:hint="eastAsia" w:ascii="仿宋_GB2312" w:hAnsi="仿宋_GB2312" w:eastAsia="仿宋_GB2312" w:cs="仿宋_GB2312"/>
          <w:sz w:val="32"/>
          <w:szCs w:val="32"/>
          <w:highlight w:val="none"/>
          <w:lang w:eastAsia="zh-CN"/>
        </w:rPr>
        <w:t>委托专业招标代理机构开展</w:t>
      </w:r>
      <w:r>
        <w:rPr>
          <w:rFonts w:hint="default" w:ascii="仿宋_GB2312" w:hAnsi="仿宋_GB2312" w:eastAsia="仿宋_GB2312" w:cs="仿宋_GB2312"/>
          <w:sz w:val="32"/>
          <w:szCs w:val="32"/>
          <w:highlight w:val="none"/>
          <w:lang w:val="en" w:eastAsia="zh-CN"/>
        </w:rPr>
        <w:t>公开</w:t>
      </w:r>
      <w:r>
        <w:rPr>
          <w:rFonts w:hint="eastAsia" w:ascii="仿宋_GB2312" w:hAnsi="仿宋_GB2312" w:eastAsia="仿宋_GB2312" w:cs="仿宋_GB2312"/>
          <w:sz w:val="32"/>
          <w:szCs w:val="32"/>
          <w:highlight w:val="none"/>
          <w:lang w:eastAsia="zh-CN"/>
        </w:rPr>
        <w:t>招投标工作</w:t>
      </w:r>
      <w:r>
        <w:rPr>
          <w:rFonts w:hint="default"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eastAsia="zh-CN"/>
        </w:rPr>
        <w:t>严格按照程序和中标电信企业的中标内容签署合同。</w:t>
      </w:r>
    </w:p>
    <w:p>
      <w:pPr>
        <w:spacing w:line="48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（二）组织过程</w:t>
      </w:r>
    </w:p>
    <w:p>
      <w:pPr>
        <w:numPr>
          <w:ilvl w:val="0"/>
          <w:numId w:val="0"/>
        </w:numPr>
        <w:spacing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在开展广西</w:t>
      </w:r>
      <w:r>
        <w:rPr>
          <w:rFonts w:hint="eastAsia" w:ascii="仿宋_GB2312" w:hAnsi="仿宋_GB2312" w:eastAsia="仿宋_GB2312" w:cs="仿宋_GB2312"/>
          <w:sz w:val="32"/>
          <w:szCs w:val="32"/>
          <w:highlight w:val="none"/>
          <w:lang w:val="en-US" w:eastAsia="zh-CN"/>
        </w:rPr>
        <w:t>2020年度电信普遍服务</w:t>
      </w:r>
      <w:r>
        <w:rPr>
          <w:rFonts w:hint="eastAsia" w:ascii="仿宋_GB2312" w:hAnsi="仿宋_GB2312" w:eastAsia="仿宋_GB2312" w:cs="仿宋_GB2312"/>
          <w:sz w:val="32"/>
          <w:szCs w:val="32"/>
          <w:highlight w:val="none"/>
          <w:lang w:eastAsia="zh-CN"/>
        </w:rPr>
        <w:t>试点项目建设过程中，结合前一批试点项目好的经验做法，分析和改进存在的不足，采取多种措施确保广西20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年度电信普遍服务试点项目稳步推进。</w:t>
      </w:r>
      <w:r>
        <w:rPr>
          <w:rFonts w:hint="eastAsia" w:ascii="仿宋_GB2312" w:hAnsi="仿宋_GB2312" w:eastAsia="仿宋_GB2312" w:cs="仿宋_GB2312"/>
          <w:sz w:val="32"/>
          <w:szCs w:val="32"/>
          <w:highlight w:val="none"/>
          <w:lang w:val="en-US" w:eastAsia="zh-CN"/>
        </w:rPr>
        <w:t>一是建立通报制度。自项目开工建设按时进行通报，通报中既有工程进展，又反映问题和前期问题的处理结果。二是</w:t>
      </w:r>
      <w:r>
        <w:rPr>
          <w:rFonts w:hint="default" w:ascii="仿宋_GB2312" w:hAnsi="仿宋_GB2312" w:eastAsia="仿宋_GB2312" w:cs="仿宋_GB2312"/>
          <w:sz w:val="32"/>
          <w:szCs w:val="32"/>
          <w:highlight w:val="none"/>
          <w:lang w:val="en" w:eastAsia="zh-CN"/>
        </w:rPr>
        <w:t>实行</w:t>
      </w:r>
      <w:r>
        <w:rPr>
          <w:rFonts w:hint="eastAsia" w:ascii="仿宋_GB2312" w:hAnsi="仿宋_GB2312" w:eastAsia="仿宋_GB2312" w:cs="仿宋_GB2312"/>
          <w:sz w:val="32"/>
          <w:szCs w:val="32"/>
          <w:highlight w:val="none"/>
          <w:lang w:val="en-US" w:eastAsia="zh-CN"/>
        </w:rPr>
        <w:t>承建企业工程月度报表</w:t>
      </w:r>
      <w:r>
        <w:rPr>
          <w:rFonts w:hint="default" w:ascii="仿宋_GB2312" w:hAnsi="仿宋_GB2312" w:eastAsia="仿宋_GB2312" w:cs="仿宋_GB2312"/>
          <w:sz w:val="32"/>
          <w:szCs w:val="32"/>
          <w:highlight w:val="none"/>
          <w:lang w:val="en" w:eastAsia="zh-CN"/>
        </w:rPr>
        <w:t>制度</w:t>
      </w:r>
      <w:r>
        <w:rPr>
          <w:rFonts w:hint="eastAsia" w:ascii="仿宋_GB2312" w:hAnsi="仿宋_GB2312" w:eastAsia="仿宋_GB2312" w:cs="仿宋_GB2312"/>
          <w:sz w:val="32"/>
          <w:szCs w:val="32"/>
          <w:highlight w:val="none"/>
          <w:lang w:val="en-US" w:eastAsia="zh-CN"/>
        </w:rPr>
        <w:t>。结合工程建设特点设置了“基站选址、铁塔建设、交付情况、4G设备及传输设计、配套传输、4G设备开通”等6个阶段性工作，既保证掌握总体工程进展情况，又能及时有效跟踪单个项目施工进度。三是</w:t>
      </w:r>
      <w:r>
        <w:rPr>
          <w:rFonts w:hint="eastAsia" w:ascii="仿宋_GB2312" w:hAnsi="仿宋_GB2312" w:eastAsia="仿宋_GB2312" w:cs="仿宋_GB2312"/>
          <w:sz w:val="32"/>
          <w:szCs w:val="32"/>
          <w:highlight w:val="none"/>
          <w:lang w:eastAsia="zh-CN"/>
        </w:rPr>
        <w:t>落实</w:t>
      </w:r>
      <w:r>
        <w:rPr>
          <w:rFonts w:hint="eastAsia" w:ascii="仿宋_GB2312" w:hAnsi="仿宋_GB2312" w:eastAsia="仿宋_GB2312" w:cs="仿宋_GB2312"/>
          <w:sz w:val="32"/>
          <w:szCs w:val="32"/>
          <w:highlight w:val="none"/>
        </w:rPr>
        <w:t>协调机制，并落实承担具体工作的责任部门，确定工作负责人和联络员，确保了项目推进中工作有落实，主动协调月度通报中电信企业反映的问题，有效提升工程进度</w:t>
      </w:r>
      <w:r>
        <w:rPr>
          <w:rFonts w:hint="eastAsia" w:ascii="仿宋_GB2312" w:hAnsi="仿宋_GB2312" w:eastAsia="仿宋_GB2312" w:cs="仿宋_GB2312"/>
          <w:sz w:val="32"/>
          <w:szCs w:val="32"/>
          <w:highlight w:val="none"/>
          <w:lang w:eastAsia="zh-CN"/>
        </w:rPr>
        <w:t>。四是同步安装应用电信普遍服务4G专用APP。</w:t>
      </w:r>
    </w:p>
    <w:p>
      <w:pPr>
        <w:numPr>
          <w:ilvl w:val="0"/>
          <w:numId w:val="2"/>
        </w:numPr>
        <w:spacing w:line="4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综合评价结论</w:t>
      </w:r>
    </w:p>
    <w:p>
      <w:pPr>
        <w:numPr>
          <w:ilvl w:val="0"/>
          <w:numId w:val="0"/>
        </w:numPr>
        <w:spacing w:line="480" w:lineRule="exact"/>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试点项目自签署合同以来，各项工作稳步推进。试点项目中央补助资金已拨付50%（9385.2万元）给中标电信企业。</w:t>
      </w:r>
    </w:p>
    <w:p>
      <w:pPr>
        <w:spacing w:line="4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四、绩效目标实现情况分析</w:t>
      </w:r>
    </w:p>
    <w:p>
      <w:pPr>
        <w:spacing w:line="48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（一）项目资金情况分析</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1.项目资金到位情况分析</w:t>
      </w:r>
    </w:p>
    <w:p>
      <w:pPr>
        <w:numPr>
          <w:ilvl w:val="0"/>
          <w:numId w:val="0"/>
        </w:numPr>
        <w:spacing w:line="480" w:lineRule="exact"/>
        <w:ind w:firstLine="640" w:firstLineChars="0"/>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 w:eastAsia="zh-CN"/>
        </w:rPr>
        <w:t>按照</w:t>
      </w:r>
      <w:r>
        <w:rPr>
          <w:rFonts w:hint="eastAsia" w:ascii="仿宋_GB2312" w:hAnsi="仿宋_GB2312" w:eastAsia="仿宋_GB2312" w:cs="仿宋_GB2312"/>
          <w:sz w:val="32"/>
          <w:szCs w:val="32"/>
          <w:highlight w:val="none"/>
          <w:lang w:val="en-US" w:eastAsia="zh-CN"/>
        </w:rPr>
        <w:t>广西壮族自治区有关财政资金管理办法，经自治区人民政府审批，2020年12月27日，自治区财政厅通过实拨方式向承建企业一次性支付边疆项目合同金额2280万元；支付行政村项目50%合同金额9385.2万元，其中中国电信广西公司4826.4万元，中国移动广西公司6838.8万元。</w:t>
      </w:r>
    </w:p>
    <w:p>
      <w:pPr>
        <w:spacing w:line="48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2.项目资金执行情况分析</w:t>
      </w:r>
    </w:p>
    <w:p>
      <w:pPr>
        <w:numPr>
          <w:ilvl w:val="0"/>
          <w:numId w:val="0"/>
        </w:num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截至2020年12月，</w:t>
      </w:r>
      <w:r>
        <w:rPr>
          <w:rFonts w:hint="eastAsia" w:ascii="仿宋_GB2312" w:hAnsi="仿宋_GB2312" w:eastAsia="仿宋_GB2312" w:cs="仿宋_GB2312"/>
          <w:sz w:val="32"/>
          <w:szCs w:val="32"/>
          <w:highlight w:val="none"/>
          <w:lang w:eastAsia="zh-CN"/>
        </w:rPr>
        <w:t>试点项目共</w:t>
      </w:r>
      <w:r>
        <w:rPr>
          <w:rFonts w:hint="eastAsia" w:ascii="仿宋_GB2312" w:hAnsi="仿宋_GB2312" w:eastAsia="仿宋_GB2312" w:cs="仿宋_GB2312"/>
          <w:sz w:val="32"/>
          <w:szCs w:val="32"/>
          <w:highlight w:val="none"/>
          <w:lang w:val="en-US" w:eastAsia="zh-CN"/>
        </w:rPr>
        <w:t>1814</w:t>
      </w:r>
      <w:r>
        <w:rPr>
          <w:rFonts w:hint="eastAsia" w:ascii="仿宋_GB2312" w:hAnsi="仿宋_GB2312" w:eastAsia="仿宋_GB2312" w:cs="仿宋_GB2312"/>
          <w:sz w:val="32"/>
          <w:szCs w:val="32"/>
          <w:highlight w:val="none"/>
        </w:rPr>
        <w:t>个试点</w:t>
      </w:r>
      <w:r>
        <w:rPr>
          <w:rFonts w:hint="eastAsia" w:ascii="仿宋_GB2312" w:hAnsi="仿宋_GB2312" w:eastAsia="仿宋_GB2312" w:cs="仿宋_GB2312"/>
          <w:sz w:val="32"/>
          <w:szCs w:val="32"/>
          <w:highlight w:val="none"/>
          <w:lang w:eastAsia="zh-CN"/>
        </w:rPr>
        <w:t>项目完成</w:t>
      </w:r>
      <w:r>
        <w:rPr>
          <w:rFonts w:hint="eastAsia" w:ascii="仿宋_GB2312" w:hAnsi="仿宋_GB2312" w:eastAsia="仿宋_GB2312" w:cs="仿宋_GB2312"/>
          <w:sz w:val="32"/>
          <w:szCs w:val="32"/>
          <w:highlight w:val="none"/>
          <w:lang w:val="en-US" w:eastAsia="zh-CN"/>
        </w:rPr>
        <w:t>全部建设任务</w:t>
      </w:r>
      <w:r>
        <w:rPr>
          <w:rFonts w:hint="eastAsia" w:ascii="仿宋_GB2312" w:hAnsi="仿宋_GB2312" w:eastAsia="仿宋_GB2312" w:cs="仿宋_GB2312"/>
          <w:sz w:val="32"/>
          <w:szCs w:val="32"/>
          <w:highlight w:val="none"/>
        </w:rPr>
        <w:t>，完工率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48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w:t>
      </w:r>
      <w:r>
        <w:rPr>
          <w:rFonts w:hint="eastAsia" w:ascii="楷体" w:hAnsi="楷体" w:eastAsia="楷体" w:cs="楷体"/>
          <w:sz w:val="32"/>
          <w:szCs w:val="32"/>
        </w:rPr>
        <w:t>项目资金管理情况分析</w:t>
      </w:r>
    </w:p>
    <w:p>
      <w:pPr>
        <w:numPr>
          <w:ilvl w:val="0"/>
          <w:numId w:val="0"/>
        </w:numPr>
        <w:spacing w:line="480" w:lineRule="exact"/>
        <w:ind w:firstLine="640" w:firstLineChars="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为确保中央财政资金专款专用，在补助资金的使用上，我们坚持三个原则：一是坚持把下达的中央财政补助资金</w:t>
      </w:r>
      <w:r>
        <w:rPr>
          <w:rFonts w:hint="default" w:ascii="仿宋_GB2312" w:hAnsi="仿宋_GB2312" w:eastAsia="仿宋_GB2312" w:cs="仿宋_GB2312"/>
          <w:kern w:val="0"/>
          <w:sz w:val="32"/>
          <w:szCs w:val="32"/>
          <w:lang w:val="en"/>
        </w:rPr>
        <w:t>由</w:t>
      </w:r>
      <w:r>
        <w:rPr>
          <w:rFonts w:hint="eastAsia" w:ascii="仿宋_GB2312" w:hAnsi="仿宋_GB2312" w:eastAsia="仿宋_GB2312" w:cs="仿宋_GB2312"/>
          <w:kern w:val="0"/>
          <w:sz w:val="32"/>
          <w:szCs w:val="32"/>
          <w:lang w:val="zh-CN"/>
        </w:rPr>
        <w:t>自治区财政厅国库统一管理；二是坚持按照要求会同自治区财政厅等部门制定补助资金使用方案；三是坚持由自治区财政厅按照程序将中央财政补助资金直接拨付中标电信企业。</w:t>
      </w:r>
    </w:p>
    <w:p>
      <w:pPr>
        <w:numPr>
          <w:ilvl w:val="0"/>
          <w:numId w:val="0"/>
        </w:numPr>
        <w:spacing w:line="48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同时我们也对中标电信企业管理使用中央财政资金作出严格要求。</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严格按照《广西壮族自治区电信普遍服务补助资金管理实施细则》，规范</w:t>
      </w:r>
      <w:r>
        <w:rPr>
          <w:rFonts w:hint="eastAsia" w:ascii="仿宋_GB2312" w:hAnsi="仿宋_GB2312" w:eastAsia="仿宋_GB2312" w:cs="仿宋_GB2312"/>
          <w:kern w:val="0"/>
          <w:sz w:val="32"/>
          <w:szCs w:val="32"/>
          <w:lang w:val="zh-CN"/>
        </w:rPr>
        <w:t>中央财政资金的使用。二是</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各中标电信企业</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试点项目过程中，如发现试点项目</w:t>
      </w:r>
      <w:r>
        <w:rPr>
          <w:rFonts w:hint="eastAsia" w:ascii="仿宋_GB2312" w:hAnsi="仿宋_GB2312" w:eastAsia="仿宋_GB2312" w:cs="仿宋_GB2312"/>
          <w:sz w:val="32"/>
          <w:szCs w:val="32"/>
          <w:lang w:eastAsia="zh-CN"/>
        </w:rPr>
        <w:t>已经达到</w:t>
      </w:r>
      <w:r>
        <w:rPr>
          <w:rFonts w:hint="eastAsia" w:ascii="仿宋_GB2312" w:hAnsi="仿宋_GB2312" w:eastAsia="仿宋_GB2312" w:cs="仿宋_GB2312"/>
          <w:sz w:val="32"/>
          <w:szCs w:val="32"/>
          <w:lang w:val="en-US" w:eastAsia="zh-CN"/>
        </w:rPr>
        <w:t>4G网络</w:t>
      </w:r>
      <w:r>
        <w:rPr>
          <w:rFonts w:hint="eastAsia" w:ascii="仿宋_GB2312" w:hAnsi="仿宋_GB2312" w:eastAsia="仿宋_GB2312" w:cs="仿宋_GB2312"/>
          <w:sz w:val="32"/>
          <w:szCs w:val="32"/>
          <w:lang w:eastAsia="zh-CN"/>
        </w:rPr>
        <w:t>到村条件或行政村已经调整合并等情况的</w:t>
      </w:r>
      <w:r>
        <w:rPr>
          <w:rFonts w:hint="eastAsia" w:ascii="仿宋_GB2312" w:hAnsi="仿宋_GB2312" w:eastAsia="仿宋_GB2312" w:cs="仿宋_GB2312"/>
          <w:sz w:val="32"/>
          <w:szCs w:val="32"/>
        </w:rPr>
        <w:t>，要及时停止</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并主动</w:t>
      </w:r>
      <w:r>
        <w:rPr>
          <w:rFonts w:hint="eastAsia" w:ascii="仿宋_GB2312" w:hAnsi="仿宋_GB2312" w:eastAsia="仿宋_GB2312" w:cs="仿宋_GB2312"/>
          <w:sz w:val="32"/>
          <w:szCs w:val="32"/>
          <w:lang w:eastAsia="zh-CN"/>
        </w:rPr>
        <w:t>报告有关情况</w:t>
      </w:r>
      <w:r>
        <w:rPr>
          <w:rFonts w:hint="eastAsia" w:ascii="仿宋_GB2312" w:hAnsi="仿宋_GB2312" w:eastAsia="仿宋_GB2312" w:cs="仿宋_GB2312"/>
          <w:sz w:val="32"/>
          <w:szCs w:val="32"/>
        </w:rPr>
        <w:t>。</w:t>
      </w:r>
    </w:p>
    <w:p>
      <w:pPr>
        <w:spacing w:line="48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（二）项目绩效指标完成情况分析</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1.产出指标完成情况分析</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（1）项目完成数量</w:t>
      </w:r>
    </w:p>
    <w:p>
      <w:pPr>
        <w:spacing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行政村4G基站建设项目完工1738个</w:t>
      </w:r>
      <w:r>
        <w:rPr>
          <w:rFonts w:hint="eastAsia" w:ascii="仿宋_GB2312" w:hAnsi="仿宋_GB2312" w:eastAsia="仿宋_GB2312" w:cs="仿宋_GB2312"/>
          <w:sz w:val="32"/>
          <w:szCs w:val="32"/>
          <w:highlight w:val="none"/>
          <w:lang w:eastAsia="zh-CN"/>
        </w:rPr>
        <w:t>，完工率</w:t>
      </w:r>
      <w:r>
        <w:rPr>
          <w:rFonts w:hint="eastAsia" w:ascii="仿宋_GB2312" w:hAnsi="仿宋_GB2312" w:eastAsia="仿宋_GB2312" w:cs="仿宋_GB2312"/>
          <w:sz w:val="32"/>
          <w:szCs w:val="32"/>
          <w:highlight w:val="none"/>
          <w:lang w:val="en-US" w:eastAsia="zh-CN"/>
        </w:rPr>
        <w:t>100%。边疆4G基站建设项目完工76个，完工率100%。</w:t>
      </w:r>
    </w:p>
    <w:p>
      <w:pPr>
        <w:numPr>
          <w:ilvl w:val="0"/>
          <w:numId w:val="3"/>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项目完成质量</w:t>
      </w:r>
    </w:p>
    <w:p>
      <w:pPr>
        <w:numPr>
          <w:ilvl w:val="0"/>
          <w:numId w:val="0"/>
        </w:numPr>
        <w:spacing w:line="480" w:lineRule="exact"/>
        <w:ind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已完工试点项目均已实现4G网络通达</w:t>
      </w:r>
      <w:r>
        <w:rPr>
          <w:rFonts w:eastAsia="仿宋_GB2312"/>
          <w:bCs/>
          <w:sz w:val="32"/>
          <w:szCs w:val="32"/>
        </w:rPr>
        <w:t>行政村无4G基站，或</w:t>
      </w:r>
      <w:r>
        <w:rPr>
          <w:rFonts w:hint="eastAsia" w:eastAsia="仿宋_GB2312"/>
          <w:bCs/>
          <w:sz w:val="32"/>
          <w:szCs w:val="32"/>
          <w:lang w:eastAsia="zh-CN"/>
        </w:rPr>
        <w:t>行政村内</w:t>
      </w:r>
      <w:r>
        <w:rPr>
          <w:rFonts w:eastAsia="仿宋_GB2312"/>
          <w:bCs/>
          <w:sz w:val="32"/>
          <w:szCs w:val="32"/>
        </w:rPr>
        <w:t>的</w:t>
      </w:r>
      <w:r>
        <w:rPr>
          <w:rFonts w:hint="eastAsia" w:eastAsia="仿宋_GB2312"/>
          <w:bCs/>
          <w:sz w:val="32"/>
          <w:szCs w:val="32"/>
          <w:lang w:eastAsia="zh-CN"/>
        </w:rPr>
        <w:t>较大</w:t>
      </w:r>
      <w:r>
        <w:rPr>
          <w:rFonts w:eastAsia="仿宋_GB2312"/>
          <w:bCs/>
          <w:sz w:val="32"/>
          <w:szCs w:val="32"/>
        </w:rPr>
        <w:t>人口</w:t>
      </w:r>
      <w:r>
        <w:rPr>
          <w:rFonts w:hint="eastAsia" w:eastAsia="仿宋_GB2312"/>
          <w:bCs/>
          <w:sz w:val="32"/>
          <w:szCs w:val="32"/>
          <w:lang w:eastAsia="zh-CN"/>
        </w:rPr>
        <w:t>规模</w:t>
      </w:r>
      <w:r>
        <w:rPr>
          <w:rFonts w:eastAsia="仿宋_GB2312"/>
          <w:bCs/>
          <w:sz w:val="32"/>
          <w:szCs w:val="32"/>
        </w:rPr>
        <w:t>聚居区（含扶贫搬迁安置点）、学校和卫生室等公共机构、重点区域（如生产作业区、景区、交通要道沿线、林场等）等</w:t>
      </w:r>
      <w:r>
        <w:rPr>
          <w:rFonts w:hint="eastAsia" w:ascii="仿宋_GB2312" w:hAnsi="仿宋_GB2312" w:eastAsia="仿宋_GB2312" w:cs="仿宋_GB2312"/>
          <w:sz w:val="32"/>
          <w:szCs w:val="32"/>
          <w:lang w:val="en-US" w:eastAsia="zh-CN"/>
        </w:rPr>
        <w:t>，已完工项目</w:t>
      </w:r>
      <w:r>
        <w:rPr>
          <w:rFonts w:hint="eastAsia" w:ascii="仿宋_GB2312" w:hAnsi="仿宋_GB2312" w:eastAsia="仿宋_GB2312" w:cs="仿宋_GB2312"/>
          <w:kern w:val="2"/>
          <w:sz w:val="32"/>
          <w:szCs w:val="32"/>
          <w:highlight w:val="none"/>
          <w:lang w:val="en-US"/>
        </w:rPr>
        <w:t>下行速率</w:t>
      </w:r>
      <w:r>
        <w:rPr>
          <w:rFonts w:hint="eastAsia" w:ascii="仿宋_GB2312" w:hAnsi="仿宋_GB2312" w:eastAsia="仿宋_GB2312" w:cs="仿宋_GB2312"/>
          <w:kern w:val="2"/>
          <w:sz w:val="32"/>
          <w:szCs w:val="32"/>
          <w:highlight w:val="none"/>
          <w:lang w:val="en-US" w:eastAsia="zh-CN"/>
        </w:rPr>
        <w:t>基本</w:t>
      </w:r>
      <w:r>
        <w:rPr>
          <w:rFonts w:hint="eastAsia" w:ascii="仿宋_GB2312" w:hAnsi="仿宋_GB2312" w:eastAsia="仿宋_GB2312" w:cs="仿宋_GB2312"/>
          <w:kern w:val="2"/>
          <w:sz w:val="32"/>
          <w:szCs w:val="32"/>
          <w:highlight w:val="none"/>
          <w:lang w:val="en-US"/>
        </w:rPr>
        <w:t>超过1</w:t>
      </w:r>
      <w:r>
        <w:rPr>
          <w:rFonts w:hint="eastAsia" w:ascii="仿宋_GB2312" w:hAnsi="仿宋_GB2312" w:eastAsia="仿宋_GB2312" w:cs="仿宋_GB2312"/>
          <w:kern w:val="2"/>
          <w:sz w:val="32"/>
          <w:szCs w:val="32"/>
          <w:highlight w:val="none"/>
          <w:lang w:val="en-US" w:eastAsia="zh-CN"/>
        </w:rPr>
        <w:t>2</w:t>
      </w:r>
      <w:r>
        <w:rPr>
          <w:rFonts w:hint="eastAsia" w:ascii="仿宋_GB2312" w:hAnsi="仿宋_GB2312" w:eastAsia="仿宋_GB2312" w:cs="仿宋_GB2312"/>
          <w:kern w:val="2"/>
          <w:sz w:val="32"/>
          <w:szCs w:val="32"/>
          <w:highlight w:val="none"/>
          <w:lang w:val="en-US"/>
        </w:rPr>
        <w:t>Mbp</w:t>
      </w:r>
      <w:r>
        <w:rPr>
          <w:rFonts w:hint="eastAsia" w:ascii="仿宋_GB2312" w:hAnsi="仿宋_GB2312" w:eastAsia="仿宋_GB2312" w:cs="仿宋_GB2312"/>
          <w:kern w:val="0"/>
          <w:sz w:val="32"/>
          <w:szCs w:val="32"/>
          <w:highlight w:val="none"/>
          <w:lang w:val="zh-CN"/>
        </w:rPr>
        <w:t>s</w:t>
      </w:r>
      <w:r>
        <w:rPr>
          <w:rFonts w:hint="eastAsia" w:ascii="仿宋_GB2312" w:hAnsi="仿宋_GB2312" w:eastAsia="仿宋_GB2312" w:cs="仿宋_GB2312"/>
          <w:sz w:val="32"/>
          <w:szCs w:val="32"/>
          <w:lang w:val="en-US" w:eastAsia="zh-CN"/>
        </w:rPr>
        <w:t>。</w:t>
      </w:r>
    </w:p>
    <w:p>
      <w:pPr>
        <w:numPr>
          <w:ilvl w:val="0"/>
          <w:numId w:val="3"/>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项目完成</w:t>
      </w:r>
      <w:r>
        <w:rPr>
          <w:rFonts w:hint="eastAsia" w:ascii="楷体" w:hAnsi="楷体" w:eastAsia="楷体" w:cs="楷体"/>
          <w:sz w:val="32"/>
          <w:szCs w:val="32"/>
          <w:lang w:eastAsia="zh-CN"/>
        </w:rPr>
        <w:t>时效</w:t>
      </w:r>
    </w:p>
    <w:p>
      <w:pPr>
        <w:numPr>
          <w:ilvl w:val="0"/>
          <w:numId w:val="0"/>
        </w:numPr>
        <w:spacing w:line="480" w:lineRule="exact"/>
        <w:ind w:firstLine="64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已完成2020年度电信普遍服务试点行政村项目招标、合同签署工作。已一次性拨付边疆项目合同金额2280万元给承建企业，已拨付行政村项目合同金额的50%（合计9358.2万元）给承建企业。截至2020年12月底，2020年度电信普遍服务1814个试点项目已全部完工，合同约定完成时限为2021年10月底前，提前10个月完成全部建设任务。</w:t>
      </w:r>
    </w:p>
    <w:p>
      <w:pPr>
        <w:numPr>
          <w:ilvl w:val="0"/>
          <w:numId w:val="3"/>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项目成本节约情况</w:t>
      </w:r>
    </w:p>
    <w:p>
      <w:pPr>
        <w:numPr>
          <w:ilvl w:val="0"/>
          <w:numId w:val="0"/>
        </w:numPr>
        <w:spacing w:line="480" w:lineRule="exact"/>
        <w:ind w:firstLine="0" w:firstLineChars="0"/>
        <w:rPr>
          <w:rFonts w:hint="eastAsia" w:ascii="仿宋_GB2312" w:hAnsi="仿宋_GB2312" w:eastAsia="仿宋_GB2312" w:cs="仿宋_GB2312"/>
          <w:sz w:val="32"/>
          <w:szCs w:val="32"/>
          <w:lang w:val="en-US" w:eastAsia="zh-CN"/>
        </w:rPr>
      </w:pPr>
      <w:r>
        <w:rPr>
          <w:rFonts w:hint="eastAsia" w:ascii="仿宋_GB2312"/>
          <w:sz w:val="32"/>
          <w:szCs w:val="32"/>
          <w:lang w:val="en-US" w:eastAsia="zh-CN"/>
        </w:rPr>
        <w:t xml:space="preserve">    </w:t>
      </w:r>
      <w:r>
        <w:rPr>
          <w:rFonts w:hint="eastAsia" w:ascii="仿宋_GB2312" w:hAnsi="仿宋_GB2312" w:eastAsia="仿宋_GB2312" w:cs="仿宋_GB2312"/>
          <w:sz w:val="32"/>
          <w:szCs w:val="32"/>
          <w:lang w:val="en-US" w:eastAsia="zh-CN"/>
        </w:rPr>
        <w:t>试点项目经公开招标后，剩余中央财政补助资金2085.6万元，</w:t>
      </w:r>
      <w:r>
        <w:rPr>
          <w:rFonts w:hint="default" w:ascii="仿宋_GB2312" w:hAnsi="仿宋_GB2312" w:eastAsia="仿宋_GB2312" w:cs="仿宋_GB2312"/>
          <w:sz w:val="32"/>
          <w:szCs w:val="32"/>
          <w:lang w:val="en" w:eastAsia="zh-CN"/>
        </w:rPr>
        <w:t>已根据有关规定</w:t>
      </w:r>
      <w:r>
        <w:rPr>
          <w:rFonts w:hint="eastAsia" w:ascii="仿宋_GB2312" w:hAnsi="仿宋_GB2312" w:eastAsia="仿宋_GB2312" w:cs="仿宋_GB2312"/>
          <w:sz w:val="32"/>
          <w:szCs w:val="32"/>
          <w:lang w:val="en-US" w:eastAsia="zh-CN"/>
        </w:rPr>
        <w:t>统筹用于农村地区未通4G网络自然村覆盖。</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2.效益指标完成情况分析</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（1）项目实施的经济效益分析</w:t>
      </w:r>
    </w:p>
    <w:p>
      <w:pPr>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试点项目建设完成后，将会</w:t>
      </w:r>
      <w:r>
        <w:rPr>
          <w:rFonts w:hint="eastAsia" w:ascii="仿宋_GB2312" w:hAnsi="仿宋_GB2312" w:eastAsia="仿宋_GB2312" w:cs="仿宋_GB2312"/>
          <w:sz w:val="32"/>
          <w:szCs w:val="32"/>
          <w:lang w:val="en-US" w:eastAsia="zh-CN"/>
        </w:rPr>
        <w:t>带动中标电信企业扩大在自然村开展4G网络建设，</w:t>
      </w:r>
      <w:r>
        <w:rPr>
          <w:rFonts w:hint="eastAsia" w:ascii="仿宋_GB2312" w:hAnsi="仿宋_GB2312" w:eastAsia="仿宋_GB2312" w:cs="仿宋_GB2312"/>
          <w:sz w:val="32"/>
          <w:szCs w:val="32"/>
          <w:lang w:eastAsia="zh-CN"/>
        </w:rPr>
        <w:t>拉动投资效果进一步凸显。</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（2）项目实施的社会效益分析</w:t>
      </w:r>
    </w:p>
    <w:p>
      <w:pPr>
        <w:spacing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试点项目建设完成后，将提升农村地区</w:t>
      </w:r>
      <w:r>
        <w:rPr>
          <w:rFonts w:hint="eastAsia" w:ascii="仿宋_GB2312" w:hAnsi="仿宋_GB2312" w:eastAsia="仿宋_GB2312" w:cs="仿宋_GB2312"/>
          <w:sz w:val="32"/>
          <w:szCs w:val="32"/>
          <w:highlight w:val="none"/>
          <w:lang w:val="en-US" w:eastAsia="zh-CN"/>
        </w:rPr>
        <w:t>4G网络</w:t>
      </w:r>
      <w:r>
        <w:rPr>
          <w:rFonts w:hint="eastAsia" w:ascii="仿宋_GB2312" w:hAnsi="仿宋_GB2312" w:eastAsia="仿宋_GB2312" w:cs="仿宋_GB2312"/>
          <w:sz w:val="32"/>
          <w:szCs w:val="32"/>
          <w:highlight w:val="none"/>
          <w:lang w:eastAsia="zh-CN"/>
        </w:rPr>
        <w:t>普及率，实现</w:t>
      </w:r>
      <w:r>
        <w:rPr>
          <w:rFonts w:hint="eastAsia" w:ascii="仿宋_GB2312" w:hAnsi="仿宋_GB2312" w:eastAsia="仿宋_GB2312" w:cs="仿宋_GB2312"/>
          <w:sz w:val="32"/>
          <w:szCs w:val="32"/>
          <w:highlight w:val="none"/>
          <w:lang w:val="en-US" w:eastAsia="zh-CN"/>
        </w:rPr>
        <w:t>20户以上自然村通4G网络，为</w:t>
      </w:r>
      <w:r>
        <w:rPr>
          <w:rFonts w:hint="eastAsia" w:ascii="仿宋_GB2312" w:hAnsi="仿宋_GB2312" w:eastAsia="仿宋_GB2312" w:cs="仿宋_GB2312"/>
          <w:sz w:val="32"/>
          <w:szCs w:val="32"/>
          <w:highlight w:val="none"/>
          <w:lang w:eastAsia="zh-CN"/>
        </w:rPr>
        <w:t>助力打赢“十三五”脱贫攻坚战提供</w:t>
      </w:r>
      <w:r>
        <w:rPr>
          <w:rFonts w:hint="eastAsia" w:ascii="仿宋_GB2312" w:hAnsi="仿宋_GB2312" w:eastAsia="仿宋_GB2312" w:cs="仿宋_GB2312"/>
          <w:sz w:val="32"/>
          <w:szCs w:val="32"/>
          <w:highlight w:val="none"/>
          <w:lang w:val="en-US" w:eastAsia="zh-CN"/>
        </w:rPr>
        <w:t>4G</w:t>
      </w:r>
      <w:r>
        <w:rPr>
          <w:rFonts w:hint="eastAsia" w:ascii="仿宋_GB2312" w:hAnsi="仿宋_GB2312" w:eastAsia="仿宋_GB2312" w:cs="仿宋_GB2312"/>
          <w:sz w:val="32"/>
          <w:szCs w:val="32"/>
          <w:highlight w:val="none"/>
          <w:lang w:eastAsia="zh-CN"/>
        </w:rPr>
        <w:t>网络基础，也为“十四五”实现乡村振兴夯实基础。</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w:t>
      </w:r>
      <w:r>
        <w:rPr>
          <w:rFonts w:hint="eastAsia" w:ascii="楷体" w:hAnsi="楷体" w:eastAsia="楷体" w:cs="楷体"/>
          <w:sz w:val="32"/>
          <w:szCs w:val="32"/>
          <w:lang w:eastAsia="zh-CN"/>
        </w:rPr>
        <w:t>满意度</w:t>
      </w:r>
      <w:r>
        <w:rPr>
          <w:rFonts w:hint="eastAsia" w:ascii="楷体" w:hAnsi="楷体" w:eastAsia="楷体" w:cs="楷体"/>
          <w:sz w:val="32"/>
          <w:szCs w:val="32"/>
        </w:rPr>
        <w:t>指标完成情况分析</w:t>
      </w:r>
    </w:p>
    <w:p>
      <w:pPr>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试点地区群众对4G网络覆盖满意度</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w:t>
      </w:r>
    </w:p>
    <w:p>
      <w:pPr>
        <w:spacing w:line="4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五、下一步改进措施</w:t>
      </w:r>
    </w:p>
    <w:p>
      <w:pPr>
        <w:spacing w:line="480" w:lineRule="exact"/>
        <w:ind w:firstLine="640" w:firstLineChars="200"/>
        <w:rPr>
          <w:rFonts w:hint="eastAsia" w:ascii="仿宋_GB2312" w:hAnsi="仿宋_GB2312" w:eastAsia="仿宋_GB2312" w:cs="仿宋_GB2312"/>
          <w:bCs w:val="0"/>
          <w:sz w:val="32"/>
          <w:szCs w:val="32"/>
          <w:lang w:eastAsia="zh-CN"/>
        </w:rPr>
      </w:pPr>
      <w:r>
        <w:rPr>
          <w:rFonts w:hint="eastAsia" w:ascii="仿宋_GB2312" w:hAnsi="仿宋_GB2312" w:eastAsia="仿宋_GB2312" w:cs="仿宋_GB2312"/>
          <w:bCs w:val="0"/>
          <w:sz w:val="32"/>
          <w:szCs w:val="32"/>
          <w:lang w:eastAsia="zh-CN"/>
        </w:rPr>
        <w:t>试点边疆项目资金拨付为一次性拨付电信企业，为降低存在风险，在后续的试点项目中中央财政补助资金应根据实施进展情况，按阶段拨付中标电信企业。</w:t>
      </w:r>
    </w:p>
    <w:p>
      <w:pPr>
        <w:spacing w:line="4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六、公开情况</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val="0"/>
          <w:sz w:val="32"/>
          <w:szCs w:val="32"/>
          <w:lang w:eastAsia="zh-CN"/>
        </w:rPr>
        <w:t>试点项目的招投标情况、中标情况均在中国政府采购网</w:t>
      </w:r>
      <w:r>
        <w:rPr>
          <w:rFonts w:hint="eastAsia" w:ascii="仿宋_GB2312" w:hAnsi="仿宋_GB2312" w:eastAsia="仿宋_GB2312" w:cs="仿宋_GB2312"/>
          <w:kern w:val="2"/>
          <w:sz w:val="32"/>
          <w:szCs w:val="32"/>
          <w:lang w:eastAsia="zh-CN"/>
        </w:rPr>
        <w:t>上公示。试点项目地址在当地政府门户网站公示。</w:t>
      </w: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default"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1B709"/>
    <w:multiLevelType w:val="singleLevel"/>
    <w:tmpl w:val="F8B1B709"/>
    <w:lvl w:ilvl="0" w:tentative="0">
      <w:start w:val="2"/>
      <w:numFmt w:val="decimal"/>
      <w:suff w:val="nothing"/>
      <w:lvlText w:val="（%1）"/>
      <w:lvlJc w:val="left"/>
    </w:lvl>
  </w:abstractNum>
  <w:abstractNum w:abstractNumId="1">
    <w:nsid w:val="3EEFA790"/>
    <w:multiLevelType w:val="singleLevel"/>
    <w:tmpl w:val="3EEFA790"/>
    <w:lvl w:ilvl="0" w:tentative="0">
      <w:start w:val="2"/>
      <w:numFmt w:val="chineseCounting"/>
      <w:suff w:val="nothing"/>
      <w:lvlText w:val="（%1）"/>
      <w:lvlJc w:val="left"/>
      <w:rPr>
        <w:rFonts w:hint="eastAsia"/>
      </w:rPr>
    </w:lvl>
  </w:abstractNum>
  <w:abstractNum w:abstractNumId="2">
    <w:nsid w:val="4510F75B"/>
    <w:multiLevelType w:val="singleLevel"/>
    <w:tmpl w:val="4510F75B"/>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83902"/>
    <w:rsid w:val="03B83902"/>
    <w:rsid w:val="0C567A45"/>
    <w:rsid w:val="0E0E7058"/>
    <w:rsid w:val="140C48CE"/>
    <w:rsid w:val="157B4C02"/>
    <w:rsid w:val="23405659"/>
    <w:rsid w:val="2AF53F7F"/>
    <w:rsid w:val="2EFBBED5"/>
    <w:rsid w:val="3F6C5331"/>
    <w:rsid w:val="3FFF96B5"/>
    <w:rsid w:val="67D75D2C"/>
    <w:rsid w:val="6D15790D"/>
    <w:rsid w:val="75EB85AE"/>
    <w:rsid w:val="7A500524"/>
    <w:rsid w:val="7B37CAF1"/>
    <w:rsid w:val="7D7ADC00"/>
    <w:rsid w:val="7FBA745A"/>
    <w:rsid w:val="B6F87EDD"/>
    <w:rsid w:val="BBFFD499"/>
    <w:rsid w:val="CE7F8483"/>
    <w:rsid w:val="E36E6438"/>
    <w:rsid w:val="F757A514"/>
    <w:rsid w:val="FA5FA192"/>
    <w:rsid w:val="FDD74B51"/>
    <w:rsid w:val="FDF7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default" w:ascii="Times New Roman" w:hAnsi="Times New Roman" w:cs="Times New Roman"/>
      <w:color w:val="000000"/>
      <w:sz w:val="24"/>
      <w:szCs w:val="24"/>
      <w:u w:val="none"/>
    </w:rPr>
  </w:style>
  <w:style w:type="character" w:customStyle="1" w:styleId="8">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2020-02-13T01:40:00Z</dcterms:created>
  <dc:creator>jj</dc:creator>
  <cp:lastModifiedBy>kylin</cp:lastModifiedBy>
  <cp:lastPrinted>2021-06-12T07:45:00Z</cp:lastPrinted>
  <dcterms:modified xsi:type="dcterms:W3CDTF">2021-06-11T19:22:10Z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