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colors1.xml" ContentType="application/vnd.ms-office.chartcolorstyle+xml"/>
  <Override PartName="/word/charts/chart/style1.xml" ContentType="application/vnd.ms-office.chartstyle+xml"/>
  <Override PartName="/word/charts/chart1.xml" ContentType="application/vnd.openxmlformats-officedocument.drawingml.chart+xml"/>
  <Override PartName="/word/document.xml" ContentType="application/vnd.openxmlformats-officedocument.wordprocessingml.document.main+xml"/>
  <Override PartName="/word/embeddings/oleObject1.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5.11.0.0 -->
  <w:body>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eastAsia="宋体" w:hAnsi="Times New Roman" w:cs="Times New Roman" w:hint="eastAsia"/>
          <w:b/>
          <w:color w:val="auto"/>
          <w:sz w:val="48"/>
          <w:szCs w:val="48"/>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eastAsia="宋体" w:hAnsi="Times New Roman" w:cs="Times New Roman" w:hint="eastAsia"/>
          <w:b/>
          <w:color w:val="auto"/>
          <w:sz w:val="48"/>
          <w:szCs w:val="48"/>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eastAsia="宋体" w:hAnsi="Times New Roman" w:cs="Times New Roman" w:hint="eastAsia"/>
          <w:b/>
          <w:color w:val="auto"/>
          <w:sz w:val="48"/>
          <w:szCs w:val="48"/>
          <w:highlight w:val="none"/>
          <w:lang w:eastAsia="zh-CN"/>
        </w:rPr>
      </w:pPr>
      <w:r>
        <w:rPr>
          <w:rFonts w:ascii="Times New Roman" w:eastAsia="宋体" w:hAnsi="Times New Roman" w:cs="Times New Roman" w:hint="eastAsia"/>
          <w:b/>
          <w:color w:val="auto"/>
          <w:sz w:val="48"/>
          <w:szCs w:val="48"/>
          <w:highlight w:val="none"/>
        </w:rPr>
        <w:t>广西玉林市5G通信基础设施专项规划</w:t>
      </w:r>
      <w:r>
        <w:rPr>
          <w:rFonts w:ascii="Times New Roman" w:eastAsia="宋体" w:hAnsi="Times New Roman" w:cs="Times New Roman" w:hint="eastAsia"/>
          <w:b/>
          <w:color w:val="auto"/>
          <w:sz w:val="48"/>
          <w:szCs w:val="48"/>
          <w:highlight w:val="none"/>
          <w:lang w:eastAsia="zh-CN"/>
        </w:rPr>
        <w:t>（</w:t>
      </w:r>
      <w:r>
        <w:rPr>
          <w:rFonts w:ascii="Times New Roman" w:eastAsia="宋体" w:hAnsi="Times New Roman" w:cs="Times New Roman" w:hint="eastAsia"/>
          <w:b/>
          <w:color w:val="auto"/>
          <w:sz w:val="48"/>
          <w:szCs w:val="48"/>
          <w:highlight w:val="none"/>
          <w:lang w:val="en-US" w:eastAsia="zh-CN"/>
        </w:rPr>
        <w:t>2021-2035年</w:t>
      </w:r>
      <w:r>
        <w:rPr>
          <w:rFonts w:ascii="Times New Roman" w:eastAsia="宋体" w:hAnsi="Times New Roman" w:cs="Times New Roman" w:hint="eastAsia"/>
          <w:b/>
          <w:color w:val="auto"/>
          <w:sz w:val="48"/>
          <w:szCs w:val="48"/>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eastAsia="宋体" w:hAnsi="Times New Roman" w:hint="eastAsia"/>
          <w:color w:val="auto"/>
          <w:sz w:val="48"/>
          <w:szCs w:val="48"/>
          <w:highlight w:val="none"/>
          <w:lang w:eastAsia="zh-CN"/>
        </w:rPr>
      </w:pPr>
      <w:r>
        <w:rPr>
          <w:rFonts w:ascii="Times New Roman" w:eastAsia="宋体" w:hAnsi="Times New Roman" w:cs="Times New Roman" w:hint="eastAsia"/>
          <w:b/>
          <w:color w:val="auto"/>
          <w:sz w:val="48"/>
          <w:szCs w:val="48"/>
          <w:highlight w:val="none"/>
          <w:lang w:eastAsia="zh-CN"/>
        </w:rPr>
        <w:t>（</w:t>
      </w:r>
      <w:r>
        <w:rPr>
          <w:rFonts w:ascii="Times New Roman" w:eastAsia="宋体" w:hAnsi="Times New Roman" w:cs="Times New Roman" w:hint="eastAsia"/>
          <w:b/>
          <w:color w:val="auto"/>
          <w:sz w:val="48"/>
          <w:szCs w:val="48"/>
          <w:highlight w:val="none"/>
          <w:lang w:val="en-US" w:eastAsia="zh-CN"/>
        </w:rPr>
        <w:t>报批稿</w:t>
      </w:r>
      <w:r>
        <w:rPr>
          <w:rFonts w:ascii="Times New Roman" w:eastAsia="宋体" w:hAnsi="Times New Roman" w:cs="Times New Roman" w:hint="eastAsia"/>
          <w:b/>
          <w:color w:val="auto"/>
          <w:sz w:val="48"/>
          <w:szCs w:val="48"/>
          <w:highlight w:val="none"/>
          <w:lang w:eastAsia="zh-CN"/>
        </w:rPr>
        <w:t>）</w:t>
      </w:r>
    </w:p>
    <w:p>
      <w:pPr>
        <w:pStyle w:val="TOC1"/>
        <w:keepNext w:val="0"/>
        <w:keepLines w:val="0"/>
        <w:pageBreakBefore w:val="0"/>
        <w:widowControl w:val="0"/>
        <w:kinsoku/>
        <w:wordWrap/>
        <w:overflowPunct/>
        <w:topLinePunct w:val="0"/>
        <w:autoSpaceDE/>
        <w:autoSpaceDN/>
        <w:bidi w:val="0"/>
        <w:adjustRightInd/>
        <w:snapToGrid/>
        <w:spacing w:before="0" w:after="0" w:line="360" w:lineRule="auto"/>
        <w:ind w:left="0" w:firstLine="0" w:firstLineChars="0"/>
        <w:jc w:val="center"/>
        <w:textAlignment w:val="auto"/>
        <w:rPr>
          <w:rFonts w:ascii="Times New Roman" w:eastAsia="宋体" w:hAnsi="Times New Roman"/>
          <w:caps w:val="0"/>
          <w:color w:val="auto"/>
          <w:sz w:val="48"/>
          <w:szCs w:val="48"/>
          <w:highlight w:val="none"/>
        </w:rPr>
      </w:pPr>
    </w:p>
    <w:p>
      <w:pPr>
        <w:pStyle w:val="TOC1"/>
        <w:keepNext w:val="0"/>
        <w:keepLines w:val="0"/>
        <w:pageBreakBefore w:val="0"/>
        <w:widowControl w:val="0"/>
        <w:kinsoku/>
        <w:wordWrap/>
        <w:overflowPunct/>
        <w:topLinePunct w:val="0"/>
        <w:autoSpaceDE/>
        <w:autoSpaceDN/>
        <w:bidi w:val="0"/>
        <w:adjustRightInd/>
        <w:snapToGrid/>
        <w:spacing w:before="0" w:after="0" w:line="360" w:lineRule="auto"/>
        <w:ind w:left="0" w:firstLine="0" w:firstLineChars="0"/>
        <w:jc w:val="center"/>
        <w:textAlignment w:val="auto"/>
        <w:rPr>
          <w:rFonts w:ascii="Times New Roman" w:eastAsia="宋体" w:hAnsi="Times New Roman"/>
          <w:caps w:val="0"/>
          <w:color w:val="auto"/>
          <w:sz w:val="48"/>
          <w:szCs w:val="48"/>
          <w:highlight w:val="none"/>
        </w:rPr>
      </w:pPr>
    </w:p>
    <w:tbl>
      <w:tblPr>
        <w:tblStyle w:val="TableGrid"/>
        <w:tblW w:w="0" w:type="auto"/>
        <w:tblInd w:w="4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
      <w:tblGrid>
        <w:gridCol w:w="5811"/>
        <w:gridCol w:w="10436"/>
      </w:tblGrid>
      <w:tr>
        <w:tblPrEx>
          <w:tblW w:w="0" w:type="auto"/>
          <w:tblInd w:w="4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c>
          <w:tcPr>
            <w:tcW w:w="5888" w:type="dxa"/>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right"/>
              <w:textAlignment w:val="auto"/>
              <w:rPr>
                <w:rFonts w:ascii="Times New Roman" w:eastAsia="宋体" w:hAnsi="Times New Roman" w:cs="Times New Roman" w:hint="eastAsia"/>
                <w:b/>
                <w:color w:val="auto"/>
                <w:sz w:val="32"/>
                <w:szCs w:val="32"/>
                <w:highlight w:val="none"/>
                <w:vertAlign w:val="baseline"/>
              </w:rPr>
            </w:pPr>
            <w:r>
              <w:rPr>
                <w:rFonts w:ascii="Times New Roman" w:eastAsia="宋体" w:hAnsi="Times New Roman" w:cs="Times New Roman" w:hint="eastAsia"/>
                <w:b/>
                <w:color w:val="auto"/>
                <w:sz w:val="32"/>
                <w:szCs w:val="32"/>
                <w:highlight w:val="none"/>
              </w:rPr>
              <w:t>组</w:t>
            </w:r>
            <w:r>
              <w:rPr>
                <w:rFonts w:ascii="Times New Roman" w:eastAsia="宋体" w:hAnsi="Times New Roman" w:cs="Times New Roman" w:hint="eastAsia"/>
                <w:b/>
                <w:color w:val="auto"/>
                <w:sz w:val="32"/>
                <w:szCs w:val="32"/>
                <w:highlight w:val="none"/>
                <w:lang w:val="en-US" w:eastAsia="zh-CN"/>
              </w:rPr>
              <w:t xml:space="preserve"> </w:t>
            </w:r>
            <w:r>
              <w:rPr>
                <w:rFonts w:ascii="Times New Roman" w:eastAsia="宋体" w:hAnsi="Times New Roman" w:cs="Times New Roman" w:hint="eastAsia"/>
                <w:b/>
                <w:color w:val="auto"/>
                <w:sz w:val="32"/>
                <w:szCs w:val="32"/>
                <w:highlight w:val="none"/>
              </w:rPr>
              <w:t>织</w:t>
            </w:r>
            <w:r>
              <w:rPr>
                <w:rFonts w:ascii="Times New Roman" w:eastAsia="宋体" w:hAnsi="Times New Roman" w:cs="Times New Roman" w:hint="eastAsia"/>
                <w:b/>
                <w:color w:val="auto"/>
                <w:sz w:val="32"/>
                <w:szCs w:val="32"/>
                <w:highlight w:val="none"/>
                <w:lang w:val="en-US" w:eastAsia="zh-CN"/>
              </w:rPr>
              <w:t xml:space="preserve"> </w:t>
            </w:r>
            <w:r>
              <w:rPr>
                <w:rFonts w:ascii="Times New Roman" w:eastAsia="宋体" w:hAnsi="Times New Roman" w:cs="Times New Roman" w:hint="eastAsia"/>
                <w:b/>
                <w:color w:val="auto"/>
                <w:sz w:val="32"/>
                <w:szCs w:val="32"/>
                <w:highlight w:val="none"/>
              </w:rPr>
              <w:t>编</w:t>
            </w:r>
            <w:r>
              <w:rPr>
                <w:rFonts w:ascii="Times New Roman" w:eastAsia="宋体" w:hAnsi="Times New Roman" w:cs="Times New Roman" w:hint="eastAsia"/>
                <w:b/>
                <w:color w:val="auto"/>
                <w:sz w:val="32"/>
                <w:szCs w:val="32"/>
                <w:highlight w:val="none"/>
                <w:lang w:val="en-US" w:eastAsia="zh-CN"/>
              </w:rPr>
              <w:t xml:space="preserve"> </w:t>
            </w:r>
            <w:r>
              <w:rPr>
                <w:rFonts w:ascii="Times New Roman" w:eastAsia="宋体" w:hAnsi="Times New Roman" w:cs="Times New Roman" w:hint="eastAsia"/>
                <w:b/>
                <w:color w:val="auto"/>
                <w:sz w:val="32"/>
                <w:szCs w:val="32"/>
                <w:highlight w:val="none"/>
              </w:rPr>
              <w:t>制</w:t>
            </w:r>
            <w:r>
              <w:rPr>
                <w:rFonts w:ascii="Times New Roman" w:eastAsia="宋体" w:hAnsi="Times New Roman" w:cs="Times New Roman" w:hint="eastAsia"/>
                <w:b/>
                <w:color w:val="auto"/>
                <w:sz w:val="32"/>
                <w:szCs w:val="32"/>
                <w:highlight w:val="none"/>
                <w:lang w:val="en-US" w:eastAsia="zh-CN"/>
              </w:rPr>
              <w:t xml:space="preserve"> </w:t>
            </w:r>
            <w:r>
              <w:rPr>
                <w:rFonts w:ascii="Times New Roman" w:eastAsia="宋体" w:hAnsi="Times New Roman" w:cs="Times New Roman" w:hint="eastAsia"/>
                <w:b/>
                <w:color w:val="auto"/>
                <w:sz w:val="32"/>
                <w:szCs w:val="32"/>
                <w:highlight w:val="none"/>
              </w:rPr>
              <w:t>单</w:t>
            </w:r>
            <w:r>
              <w:rPr>
                <w:rFonts w:ascii="Times New Roman" w:eastAsia="宋体" w:hAnsi="Times New Roman" w:cs="Times New Roman" w:hint="eastAsia"/>
                <w:b/>
                <w:color w:val="auto"/>
                <w:sz w:val="32"/>
                <w:szCs w:val="32"/>
                <w:highlight w:val="none"/>
                <w:lang w:val="en-US" w:eastAsia="zh-CN"/>
              </w:rPr>
              <w:t xml:space="preserve"> </w:t>
            </w:r>
            <w:r>
              <w:rPr>
                <w:rFonts w:ascii="Times New Roman" w:eastAsia="宋体" w:hAnsi="Times New Roman" w:cs="Times New Roman" w:hint="eastAsia"/>
                <w:b/>
                <w:color w:val="auto"/>
                <w:sz w:val="32"/>
                <w:szCs w:val="32"/>
                <w:highlight w:val="none"/>
              </w:rPr>
              <w:t>位：</w:t>
            </w:r>
          </w:p>
        </w:tc>
        <w:tc>
          <w:tcPr>
            <w:tcW w:w="10575" w:type="dxa"/>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left"/>
              <w:textAlignment w:val="auto"/>
              <w:rPr>
                <w:rFonts w:ascii="Times New Roman" w:eastAsia="宋体" w:hAnsi="Times New Roman" w:cs="Times New Roman" w:hint="eastAsia"/>
                <w:b/>
                <w:color w:val="auto"/>
                <w:sz w:val="32"/>
                <w:szCs w:val="32"/>
                <w:highlight w:val="none"/>
              </w:rPr>
            </w:pPr>
            <w:r>
              <w:rPr>
                <w:rFonts w:ascii="Times New Roman" w:eastAsia="宋体" w:hAnsi="Times New Roman" w:cs="Times New Roman" w:hint="eastAsia"/>
                <w:b/>
                <w:color w:val="auto"/>
                <w:sz w:val="32"/>
                <w:szCs w:val="32"/>
                <w:highlight w:val="none"/>
              </w:rPr>
              <w:t>玉林市人民政府</w:t>
            </w:r>
          </w:p>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left"/>
              <w:textAlignment w:val="auto"/>
              <w:rPr>
                <w:rFonts w:ascii="Times New Roman" w:eastAsia="宋体" w:hAnsi="Times New Roman" w:cs="Times New Roman" w:hint="eastAsia"/>
                <w:b/>
                <w:color w:val="auto"/>
                <w:sz w:val="32"/>
                <w:szCs w:val="32"/>
                <w:highlight w:val="none"/>
              </w:rPr>
            </w:pPr>
            <w:r>
              <w:rPr>
                <w:rFonts w:ascii="Times New Roman" w:eastAsia="宋体" w:hAnsi="Times New Roman" w:cs="Times New Roman" w:hint="eastAsia"/>
                <w:b/>
                <w:color w:val="auto"/>
                <w:sz w:val="32"/>
                <w:szCs w:val="32"/>
                <w:highlight w:val="none"/>
              </w:rPr>
              <w:t>广西壮族自治区通信管理局</w:t>
            </w:r>
          </w:p>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left"/>
              <w:textAlignment w:val="auto"/>
              <w:rPr>
                <w:rFonts w:ascii="Times New Roman" w:eastAsia="宋体" w:hAnsi="Times New Roman" w:cs="Times New Roman" w:hint="eastAsia"/>
                <w:b/>
                <w:color w:val="auto"/>
                <w:sz w:val="32"/>
                <w:szCs w:val="32"/>
                <w:highlight w:val="none"/>
              </w:rPr>
            </w:pPr>
            <w:r>
              <w:rPr>
                <w:rFonts w:ascii="Times New Roman" w:eastAsia="宋体" w:hAnsi="Times New Roman" w:cs="Times New Roman" w:hint="eastAsia"/>
                <w:b/>
                <w:color w:val="auto"/>
                <w:sz w:val="32"/>
                <w:szCs w:val="32"/>
                <w:highlight w:val="none"/>
              </w:rPr>
              <w:t>玉林市通信发展管理办公室</w:t>
            </w:r>
          </w:p>
        </w:tc>
      </w:tr>
      <w:tr>
        <w:tblPrEx>
          <w:tblW w:w="0" w:type="auto"/>
          <w:tblInd w:w="4687" w:type="dxa"/>
          <w:tblCellMar>
            <w:top w:w="0" w:type="dxa"/>
            <w:left w:w="108" w:type="dxa"/>
            <w:bottom w:w="0" w:type="dxa"/>
            <w:right w:w="108" w:type="dxa"/>
          </w:tblCellMar>
        </w:tblPrEx>
        <w:tc>
          <w:tcPr>
            <w:tcW w:w="5888" w:type="dxa"/>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right"/>
              <w:textAlignment w:val="auto"/>
              <w:rPr>
                <w:rFonts w:ascii="Times New Roman" w:eastAsia="宋体" w:hAnsi="Times New Roman" w:cs="Times New Roman" w:hint="default"/>
                <w:b/>
                <w:color w:val="auto"/>
                <w:sz w:val="32"/>
                <w:szCs w:val="32"/>
                <w:highlight w:val="none"/>
                <w:vertAlign w:val="baseline"/>
                <w:lang w:val="en-US" w:eastAsia="zh-CN"/>
              </w:rPr>
            </w:pPr>
            <w:r>
              <w:rPr>
                <w:rFonts w:ascii="Times New Roman" w:eastAsia="宋体" w:hAnsi="Times New Roman" w:cs="Times New Roman" w:hint="eastAsia"/>
                <w:b/>
                <w:color w:val="auto"/>
                <w:sz w:val="32"/>
                <w:szCs w:val="32"/>
                <w:highlight w:val="none"/>
                <w:vertAlign w:val="baseline"/>
                <w:lang w:val="en-US" w:eastAsia="zh-CN"/>
              </w:rPr>
              <w:t>设   计   单   位：</w:t>
            </w:r>
          </w:p>
        </w:tc>
        <w:tc>
          <w:tcPr>
            <w:tcW w:w="10575" w:type="dxa"/>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left"/>
              <w:textAlignment w:val="auto"/>
              <w:rPr>
                <w:rFonts w:ascii="Times New Roman" w:eastAsia="宋体" w:hAnsi="Times New Roman" w:cs="Times New Roman" w:hint="eastAsia"/>
                <w:b/>
                <w:color w:val="auto"/>
                <w:sz w:val="32"/>
                <w:szCs w:val="32"/>
                <w:highlight w:val="none"/>
                <w:lang w:val="en-US" w:eastAsia="zh-CN"/>
              </w:rPr>
            </w:pPr>
            <w:r>
              <w:rPr>
                <w:rFonts w:ascii="Times New Roman" w:eastAsia="宋体" w:hAnsi="Times New Roman" w:cs="Times New Roman" w:hint="eastAsia"/>
                <w:b/>
                <w:color w:val="auto"/>
                <w:sz w:val="32"/>
                <w:szCs w:val="32"/>
                <w:highlight w:val="none"/>
                <w:lang w:val="en-US" w:eastAsia="zh-CN"/>
              </w:rPr>
              <w:t>华蓝设计（集团）有限公司</w:t>
            </w:r>
          </w:p>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left"/>
              <w:textAlignment w:val="auto"/>
              <w:rPr>
                <w:rFonts w:ascii="Times New Roman" w:eastAsia="宋体" w:hAnsi="Times New Roman" w:cs="Times New Roman" w:hint="default"/>
                <w:b/>
                <w:color w:val="auto"/>
                <w:sz w:val="32"/>
                <w:szCs w:val="32"/>
                <w:highlight w:val="none"/>
                <w:lang w:val="en-US" w:eastAsia="zh-CN"/>
              </w:rPr>
            </w:pPr>
            <w:r>
              <w:rPr>
                <w:rFonts w:ascii="Times New Roman" w:eastAsia="宋体" w:hAnsi="Times New Roman" w:cs="Times New Roman" w:hint="eastAsia"/>
                <w:b/>
                <w:color w:val="auto"/>
                <w:sz w:val="32"/>
                <w:szCs w:val="32"/>
                <w:highlight w:val="none"/>
                <w:lang w:val="en-US" w:eastAsia="zh-CN"/>
              </w:rPr>
              <w:t>中国移动通信集团设计院有限公司</w:t>
            </w:r>
          </w:p>
        </w:tc>
      </w:tr>
      <w:tr>
        <w:tblPrEx>
          <w:tblW w:w="0" w:type="auto"/>
          <w:tblInd w:w="4687" w:type="dxa"/>
          <w:tblCellMar>
            <w:top w:w="0" w:type="dxa"/>
            <w:left w:w="108" w:type="dxa"/>
            <w:bottom w:w="0" w:type="dxa"/>
            <w:right w:w="108" w:type="dxa"/>
          </w:tblCellMar>
        </w:tblPrEx>
        <w:tc>
          <w:tcPr>
            <w:tcW w:w="5888" w:type="dxa"/>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right"/>
              <w:textAlignment w:val="auto"/>
              <w:rPr>
                <w:rFonts w:ascii="Times New Roman" w:eastAsia="宋体" w:hAnsi="Times New Roman" w:cs="Times New Roman" w:hint="eastAsia"/>
                <w:b/>
                <w:color w:val="auto"/>
                <w:sz w:val="32"/>
                <w:szCs w:val="32"/>
                <w:highlight w:val="none"/>
                <w:vertAlign w:val="baseline"/>
                <w:lang w:val="en-US" w:eastAsia="zh-CN"/>
              </w:rPr>
            </w:pPr>
            <w:r>
              <w:rPr>
                <w:rFonts w:ascii="Times New Roman" w:eastAsia="宋体" w:hAnsi="Times New Roman" w:cs="Times New Roman" w:hint="eastAsia"/>
                <w:b/>
                <w:color w:val="auto"/>
                <w:sz w:val="32"/>
                <w:szCs w:val="32"/>
                <w:highlight w:val="none"/>
              </w:rPr>
              <w:t>参 与 编 制 单 位：</w:t>
            </w:r>
          </w:p>
        </w:tc>
        <w:tc>
          <w:tcPr>
            <w:tcW w:w="10575" w:type="dxa"/>
          </w:tcPr>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left"/>
              <w:textAlignment w:val="auto"/>
              <w:rPr>
                <w:rFonts w:ascii="Times New Roman" w:eastAsia="宋体" w:hAnsi="Times New Roman" w:cs="Times New Roman" w:hint="eastAsia"/>
                <w:b/>
                <w:color w:val="auto"/>
                <w:sz w:val="32"/>
                <w:szCs w:val="32"/>
                <w:highlight w:val="none"/>
              </w:rPr>
            </w:pPr>
            <w:r>
              <w:rPr>
                <w:rFonts w:ascii="Times New Roman" w:eastAsia="宋体" w:hAnsi="Times New Roman" w:cs="Times New Roman" w:hint="eastAsia"/>
                <w:b/>
                <w:color w:val="auto"/>
                <w:sz w:val="32"/>
                <w:szCs w:val="32"/>
                <w:highlight w:val="none"/>
              </w:rPr>
              <w:t>中国移动通信集团广西有限公司</w:t>
            </w:r>
          </w:p>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left"/>
              <w:textAlignment w:val="auto"/>
              <w:rPr>
                <w:rFonts w:ascii="Times New Roman" w:eastAsia="宋体" w:hAnsi="Times New Roman" w:cs="Times New Roman" w:hint="eastAsia"/>
                <w:b/>
                <w:color w:val="auto"/>
                <w:sz w:val="32"/>
                <w:szCs w:val="32"/>
                <w:highlight w:val="none"/>
              </w:rPr>
            </w:pPr>
            <w:r>
              <w:rPr>
                <w:rFonts w:ascii="Times New Roman" w:eastAsia="宋体" w:hAnsi="Times New Roman" w:cs="Times New Roman" w:hint="eastAsia"/>
                <w:b/>
                <w:color w:val="auto"/>
                <w:sz w:val="32"/>
                <w:szCs w:val="32"/>
                <w:highlight w:val="none"/>
              </w:rPr>
              <w:t>中国电信股份有限公司广西分公司</w:t>
            </w:r>
          </w:p>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left"/>
              <w:textAlignment w:val="auto"/>
              <w:rPr>
                <w:rFonts w:ascii="Times New Roman" w:eastAsia="宋体" w:hAnsi="Times New Roman" w:cs="Times New Roman" w:hint="eastAsia"/>
                <w:b/>
                <w:color w:val="auto"/>
                <w:sz w:val="32"/>
                <w:szCs w:val="32"/>
                <w:highlight w:val="none"/>
              </w:rPr>
            </w:pPr>
            <w:r>
              <w:rPr>
                <w:rFonts w:ascii="Times New Roman" w:eastAsia="宋体" w:hAnsi="Times New Roman" w:cs="Times New Roman" w:hint="eastAsia"/>
                <w:b/>
                <w:color w:val="auto"/>
                <w:sz w:val="32"/>
                <w:szCs w:val="32"/>
                <w:highlight w:val="none"/>
              </w:rPr>
              <w:t>中国联合网络通信集团有限公司广西分公司</w:t>
            </w:r>
          </w:p>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left"/>
              <w:textAlignment w:val="auto"/>
              <w:rPr>
                <w:rFonts w:ascii="Times New Roman" w:eastAsia="宋体" w:hAnsi="Times New Roman" w:cs="Times New Roman" w:hint="eastAsia"/>
                <w:b/>
                <w:color w:val="auto"/>
                <w:sz w:val="32"/>
                <w:szCs w:val="32"/>
                <w:highlight w:val="none"/>
              </w:rPr>
            </w:pPr>
            <w:r>
              <w:rPr>
                <w:rFonts w:ascii="Times New Roman" w:eastAsia="宋体" w:hAnsi="Times New Roman" w:cs="Times New Roman" w:hint="eastAsia"/>
                <w:b/>
                <w:color w:val="auto"/>
                <w:sz w:val="32"/>
                <w:szCs w:val="32"/>
                <w:highlight w:val="none"/>
              </w:rPr>
              <w:t>中国铁塔股份有限公司广西壮族自治区分公司</w:t>
            </w:r>
          </w:p>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left"/>
              <w:textAlignment w:val="auto"/>
              <w:rPr>
                <w:rFonts w:ascii="Times New Roman" w:eastAsia="宋体" w:hAnsi="Times New Roman" w:cs="Times New Roman" w:hint="eastAsia"/>
                <w:b/>
                <w:color w:val="auto"/>
                <w:sz w:val="32"/>
                <w:szCs w:val="32"/>
                <w:highlight w:val="none"/>
                <w:lang w:val="en-US" w:eastAsia="zh-CN"/>
              </w:rPr>
            </w:pPr>
            <w:r>
              <w:rPr>
                <w:rFonts w:ascii="Times New Roman" w:eastAsia="宋体" w:hAnsi="Times New Roman" w:cs="Times New Roman" w:hint="eastAsia"/>
                <w:b/>
                <w:color w:val="auto"/>
                <w:sz w:val="32"/>
                <w:szCs w:val="32"/>
                <w:highlight w:val="none"/>
              </w:rPr>
              <w:t>广西广播电视信息网络股份有限公司</w:t>
            </w:r>
          </w:p>
        </w:tc>
      </w:tr>
    </w:tbl>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eastAsia="宋体" w:hAnsi="Times New Roman" w:cs="Times New Roman" w:hint="eastAsia"/>
          <w:b/>
          <w:color w:val="auto"/>
          <w:sz w:val="32"/>
          <w:szCs w:val="32"/>
          <w:highlight w:val="none"/>
        </w:rPr>
      </w:pPr>
    </w:p>
    <w:p>
      <w:pPr>
        <w:spacing w:line="240" w:lineRule="auto"/>
        <w:ind w:left="0" w:firstLine="420"/>
        <w:jc w:val="center"/>
        <w:rPr>
          <w:rFonts w:ascii="Times New Roman" w:eastAsia="宋体" w:hAnsi="Times New Roman"/>
          <w:color w:val="auto"/>
          <w:highlight w:val="none"/>
        </w:rPr>
      </w:pPr>
    </w:p>
    <w:p>
      <w:pPr>
        <w:spacing w:line="240" w:lineRule="auto"/>
        <w:ind w:left="0" w:firstLine="420"/>
        <w:jc w:val="center"/>
        <w:rPr>
          <w:rFonts w:ascii="Times New Roman" w:eastAsia="宋体" w:hAnsi="Times New Roman"/>
          <w:color w:val="auto"/>
          <w:highlight w:val="none"/>
        </w:rPr>
      </w:pPr>
    </w:p>
    <w:p>
      <w:pPr>
        <w:spacing w:line="240" w:lineRule="auto"/>
        <w:ind w:left="0" w:firstLine="0" w:firstLineChars="0"/>
        <w:rPr>
          <w:rFonts w:ascii="Times New Roman" w:eastAsia="宋体" w:hAnsi="Times New Roman"/>
          <w:color w:val="auto"/>
          <w:highlight w:val="none"/>
        </w:rPr>
      </w:pPr>
    </w:p>
    <w:p>
      <w:pPr>
        <w:tabs>
          <w:tab w:val="left" w:pos="851"/>
        </w:tabs>
        <w:spacing w:before="72" w:beforeLines="30" w:after="72" w:afterLines="30" w:line="240" w:lineRule="auto"/>
        <w:ind w:left="0" w:firstLine="0" w:firstLineChars="0"/>
        <w:jc w:val="center"/>
        <w:rPr>
          <w:rFonts w:ascii="Times New Roman" w:eastAsia="宋体" w:hAnsi="Times New Roman"/>
          <w:color w:val="auto"/>
          <w:highlight w:val="none"/>
        </w:rPr>
      </w:pPr>
      <w:r>
        <w:rPr>
          <w:rFonts w:ascii="Times New Roman" w:eastAsia="宋体" w:hAnsi="Times New Roman"/>
          <w:color w:val="auto"/>
          <w:highlight w:val="none"/>
        </w:rPr>
        <w:drawing>
          <wp:inline distT="0" distB="0" distL="0" distR="0">
            <wp:extent cx="2940050" cy="485140"/>
            <wp:effectExtent l="0" t="0" r="12700" b="10160"/>
            <wp:docPr id="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pic:cNvPicPr>
                      <a:picLocks noChangeAspect="1"/>
                    </pic:cNvPicPr>
                  </pic:nvPicPr>
                  <pic:blipFill>
                    <a:blip xmlns:r="http://schemas.openxmlformats.org/officeDocument/2006/relationships" r:embed="rId6"/>
                    <a:srcRect l="6548" t="19963" r="14074" b="32843"/>
                    <a:stretch>
                      <a:fillRect/>
                    </a:stretch>
                  </pic:blipFill>
                  <pic:spPr>
                    <a:xfrm>
                      <a:off x="0" y="0"/>
                      <a:ext cx="2940050" cy="485140"/>
                    </a:xfrm>
                    <a:prstGeom prst="rect">
                      <a:avLst/>
                    </a:prstGeom>
                    <a:noFill/>
                    <a:ln>
                      <a:noFill/>
                    </a:ln>
                  </pic:spPr>
                </pic:pic>
              </a:graphicData>
            </a:graphic>
          </wp:inline>
        </w:drawing>
      </w:r>
    </w:p>
    <w:p>
      <w:pPr>
        <w:spacing w:line="240" w:lineRule="auto"/>
        <w:ind w:left="0" w:firstLine="0" w:firstLineChars="0"/>
        <w:jc w:val="center"/>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城乡规划编制资质证书：甲级 自资规甲字21450168</w:t>
      </w:r>
    </w:p>
    <w:p>
      <w:pPr>
        <w:spacing w:line="240" w:lineRule="auto"/>
        <w:ind w:left="0" w:firstLine="0" w:firstLineChars="0"/>
        <w:jc w:val="center"/>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2</w:t>
      </w:r>
      <w:r>
        <w:rPr>
          <w:rFonts w:ascii="Times New Roman" w:eastAsia="宋体" w:hAnsi="Times New Roman"/>
          <w:color w:val="auto"/>
          <w:sz w:val="24"/>
          <w:szCs w:val="24"/>
          <w:highlight w:val="none"/>
        </w:rPr>
        <w:t>02</w:t>
      </w:r>
      <w:r>
        <w:rPr>
          <w:rFonts w:ascii="Times New Roman" w:eastAsia="宋体" w:hAnsi="Times New Roman" w:hint="eastAsia"/>
          <w:color w:val="auto"/>
          <w:sz w:val="24"/>
          <w:szCs w:val="24"/>
          <w:highlight w:val="none"/>
          <w:lang w:val="en-US" w:eastAsia="zh-CN"/>
        </w:rPr>
        <w:t>4</w:t>
      </w:r>
      <w:r>
        <w:rPr>
          <w:rFonts w:ascii="Times New Roman" w:eastAsia="宋体" w:hAnsi="Times New Roman" w:hint="eastAsia"/>
          <w:color w:val="auto"/>
          <w:sz w:val="24"/>
          <w:szCs w:val="24"/>
          <w:highlight w:val="none"/>
        </w:rPr>
        <w:t>年</w:t>
      </w:r>
      <w:r>
        <w:rPr>
          <w:rFonts w:ascii="Times New Roman" w:eastAsia="宋体" w:hAnsi="Times New Roman" w:hint="eastAsia"/>
          <w:color w:val="auto"/>
          <w:sz w:val="24"/>
          <w:szCs w:val="24"/>
          <w:highlight w:val="none"/>
          <w:lang w:val="en-US" w:eastAsia="zh-CN"/>
        </w:rPr>
        <w:t>04</w:t>
      </w:r>
      <w:r>
        <w:rPr>
          <w:rFonts w:ascii="Times New Roman" w:eastAsia="宋体" w:hAnsi="Times New Roman" w:hint="eastAsia"/>
          <w:color w:val="auto"/>
          <w:sz w:val="24"/>
          <w:szCs w:val="24"/>
          <w:highlight w:val="none"/>
        </w:rPr>
        <w:t xml:space="preserve">月          </w:t>
      </w:r>
    </w:p>
    <w:p>
      <w:pPr>
        <w:rPr>
          <w:rFonts w:ascii="Times New Roman" w:eastAsia="宋体" w:hAnsi="Times New Roman"/>
          <w:color w:val="auto"/>
          <w:highlight w:val="none"/>
          <w:lang w:val="zh-CN"/>
        </w:rPr>
      </w:pPr>
      <w:r>
        <w:rPr>
          <w:rFonts w:ascii="Times New Roman" w:eastAsia="宋体" w:hAnsi="Times New Roman"/>
          <w:color w:val="auto"/>
          <w:highlight w:val="none"/>
          <w:lang w:val="zh-CN"/>
        </w:rPr>
        <w:br w:type="page"/>
      </w:r>
    </w:p>
    <w:p>
      <w:pPr>
        <w:pStyle w:val="TOC1"/>
        <w:tabs>
          <w:tab w:val="right" w:leader="dot" w:pos="10097"/>
        </w:tabs>
        <w:jc w:val="center"/>
        <w:rPr>
          <w:rFonts w:ascii="Times New Roman" w:eastAsia="宋体" w:hAnsi="Times New Roman" w:cs="Times New Roman" w:hint="eastAsia"/>
          <w:b/>
          <w:color w:val="auto"/>
          <w:sz w:val="48"/>
          <w:szCs w:val="48"/>
          <w:highlight w:val="none"/>
        </w:rPr>
      </w:pPr>
    </w:p>
    <w:p>
      <w:pPr>
        <w:pStyle w:val="TOC1"/>
        <w:tabs>
          <w:tab w:val="right" w:leader="dot" w:pos="10097"/>
        </w:tabs>
        <w:jc w:val="center"/>
        <w:rPr>
          <w:rFonts w:ascii="Times New Roman" w:eastAsia="宋体" w:hAnsi="Times New Roman" w:cs="Times New Roman" w:hint="eastAsia"/>
          <w:b/>
          <w:color w:val="auto"/>
          <w:sz w:val="48"/>
          <w:szCs w:val="48"/>
          <w:highlight w:val="none"/>
        </w:rPr>
      </w:pPr>
    </w:p>
    <w:p>
      <w:pPr>
        <w:pStyle w:val="TOC1"/>
        <w:keepNext w:val="0"/>
        <w:keepLines w:val="0"/>
        <w:pageBreakBefore w:val="0"/>
        <w:widowControl w:val="0"/>
        <w:tabs>
          <w:tab w:val="right" w:leader="dot" w:pos="10097"/>
        </w:tabs>
        <w:kinsoku/>
        <w:wordWrap/>
        <w:overflowPunct/>
        <w:topLinePunct w:val="0"/>
        <w:autoSpaceDE/>
        <w:autoSpaceDN/>
        <w:bidi w:val="0"/>
        <w:adjustRightInd/>
        <w:snapToGrid/>
        <w:ind w:left="0" w:firstLine="0" w:firstLineChars="0"/>
        <w:jc w:val="center"/>
        <w:textAlignment w:val="auto"/>
        <w:rPr>
          <w:rFonts w:eastAsia="宋体" w:hint="eastAsia"/>
          <w:b/>
          <w:color w:val="auto"/>
          <w:sz w:val="48"/>
          <w:szCs w:val="48"/>
          <w:highlight w:val="none"/>
          <w:lang w:eastAsia="zh-CN"/>
        </w:rPr>
      </w:pPr>
      <w:r>
        <w:rPr>
          <w:rFonts w:ascii="Times New Roman" w:eastAsia="宋体" w:hAnsi="Times New Roman" w:cs="Times New Roman" w:hint="eastAsia"/>
          <w:b/>
          <w:color w:val="auto"/>
          <w:sz w:val="48"/>
          <w:szCs w:val="48"/>
          <w:highlight w:val="none"/>
        </w:rPr>
        <w:t>广西玉林市5G通信基础设施专项规划</w:t>
      </w:r>
      <w:r>
        <w:rPr>
          <w:rFonts w:ascii="Times New Roman" w:eastAsia="宋体" w:hAnsi="Times New Roman" w:cs="Times New Roman" w:hint="eastAsia"/>
          <w:b/>
          <w:color w:val="auto"/>
          <w:sz w:val="48"/>
          <w:szCs w:val="48"/>
          <w:highlight w:val="none"/>
          <w:lang w:eastAsia="zh-CN"/>
        </w:rPr>
        <w:t>（</w:t>
      </w:r>
      <w:r>
        <w:rPr>
          <w:rFonts w:ascii="Times New Roman" w:eastAsia="宋体" w:hAnsi="Times New Roman" w:cs="Times New Roman" w:hint="eastAsia"/>
          <w:b/>
          <w:color w:val="auto"/>
          <w:sz w:val="48"/>
          <w:szCs w:val="48"/>
          <w:highlight w:val="none"/>
          <w:lang w:val="en-US" w:eastAsia="zh-CN"/>
        </w:rPr>
        <w:t>2021-2035年</w:t>
      </w:r>
      <w:r>
        <w:rPr>
          <w:rFonts w:ascii="Times New Roman" w:eastAsia="宋体" w:hAnsi="Times New Roman" w:cs="Times New Roman" w:hint="eastAsia"/>
          <w:b/>
          <w:color w:val="auto"/>
          <w:sz w:val="48"/>
          <w:szCs w:val="48"/>
          <w:highlight w:val="none"/>
          <w:lang w:eastAsia="zh-CN"/>
        </w:rPr>
        <w:t>）</w:t>
      </w:r>
    </w:p>
    <w:p>
      <w:pPr>
        <w:ind w:firstLine="560"/>
        <w:jc w:val="center"/>
        <w:rPr>
          <w:color w:val="auto"/>
          <w:highlight w:val="none"/>
        </w:rPr>
      </w:pPr>
    </w:p>
    <w:p>
      <w:pPr>
        <w:ind w:firstLine="560"/>
        <w:jc w:val="center"/>
        <w:rPr>
          <w:color w:val="auto"/>
          <w:highlight w:val="none"/>
        </w:rPr>
      </w:pPr>
    </w:p>
    <w:p>
      <w:pPr>
        <w:ind w:firstLine="560"/>
        <w:jc w:val="center"/>
        <w:rPr>
          <w:color w:val="auto"/>
          <w:highlight w:val="none"/>
        </w:rPr>
      </w:pPr>
    </w:p>
    <w:p>
      <w:pPr>
        <w:ind w:firstLine="560"/>
        <w:jc w:val="center"/>
        <w:rPr>
          <w:color w:val="auto"/>
          <w:highlight w:val="none"/>
        </w:rPr>
      </w:pPr>
    </w:p>
    <w:p>
      <w:pPr>
        <w:ind w:firstLine="560"/>
        <w:jc w:val="center"/>
        <w:rPr>
          <w:color w:val="auto"/>
          <w:highlight w:val="none"/>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2977"/>
        <w:gridCol w:w="1021"/>
        <w:gridCol w:w="1559"/>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jc w:val="center"/>
        </w:trPr>
        <w:tc>
          <w:tcPr>
            <w:tcW w:w="2977" w:type="dxa"/>
            <w:tcBorders>
              <w:top w:val="nil"/>
              <w:left w:val="nil"/>
              <w:bottom w:val="nil"/>
              <w:right w:val="nil"/>
            </w:tcBorders>
            <w:vAlign w:val="bottom"/>
          </w:tcPr>
          <w:p>
            <w:pPr>
              <w:keepNext w:val="0"/>
              <w:keepLines w:val="0"/>
              <w:pageBreakBefore w:val="0"/>
              <w:widowControl w:val="0"/>
              <w:kinsoku/>
              <w:wordWrap/>
              <w:overflowPunct/>
              <w:topLinePunct w:val="0"/>
              <w:autoSpaceDE/>
              <w:autoSpaceDN/>
              <w:bidi w:val="0"/>
              <w:adjustRightInd/>
              <w:snapToGrid/>
              <w:spacing w:before="283" w:after="283" w:line="360" w:lineRule="auto"/>
              <w:ind w:left="0" w:firstLine="0" w:firstLineChars="0"/>
              <w:textAlignment w:val="baseline"/>
              <w:rPr>
                <w:color w:val="auto"/>
                <w:sz w:val="24"/>
                <w:szCs w:val="24"/>
                <w:highlight w:val="none"/>
              </w:rPr>
            </w:pPr>
            <w:r>
              <w:rPr>
                <w:rFonts w:ascii="黑体" w:eastAsia="黑体" w:hAnsi="黑体" w:hint="eastAsia"/>
                <w:color w:val="auto"/>
                <w:spacing w:val="165"/>
                <w:kern w:val="0"/>
                <w:sz w:val="24"/>
                <w:szCs w:val="24"/>
                <w:highlight w:val="none"/>
                <w:fitText w:val="2520" w:id="227021454"/>
              </w:rPr>
              <w:t>法定代表</w:t>
            </w:r>
            <w:r>
              <w:rPr>
                <w:rFonts w:ascii="黑体" w:eastAsia="黑体" w:hAnsi="黑体" w:hint="eastAsia"/>
                <w:color w:val="auto"/>
                <w:spacing w:val="0"/>
                <w:kern w:val="0"/>
                <w:sz w:val="24"/>
                <w:szCs w:val="24"/>
                <w:highlight w:val="none"/>
                <w:fitText w:val="2520" w:id="227021454"/>
              </w:rPr>
              <w:t>人</w:t>
            </w:r>
            <w:r>
              <w:rPr>
                <w:rFonts w:ascii="黑体" w:eastAsia="黑体" w:hAnsi="黑体" w:hint="eastAsia"/>
                <w:color w:val="auto"/>
                <w:sz w:val="24"/>
                <w:szCs w:val="24"/>
                <w:highlight w:val="none"/>
              </w:rPr>
              <w:t>：</w:t>
            </w:r>
          </w:p>
        </w:tc>
        <w:tc>
          <w:tcPr>
            <w:tcW w:w="1021" w:type="dxa"/>
            <w:tcBorders>
              <w:top w:val="nil"/>
              <w:left w:val="nil"/>
              <w:bottom w:val="nil"/>
              <w:right w:val="nil"/>
            </w:tcBorders>
            <w:vAlign w:val="bottom"/>
          </w:tcPr>
          <w:p>
            <w:pPr>
              <w:keepNext w:val="0"/>
              <w:keepLines w:val="0"/>
              <w:pageBreakBefore w:val="0"/>
              <w:widowControl w:val="0"/>
              <w:kinsoku/>
              <w:wordWrap/>
              <w:overflowPunct/>
              <w:topLinePunct w:val="0"/>
              <w:autoSpaceDE/>
              <w:autoSpaceDN/>
              <w:bidi w:val="0"/>
              <w:adjustRightInd/>
              <w:snapToGrid/>
              <w:spacing w:before="283" w:after="283" w:line="360" w:lineRule="auto"/>
              <w:ind w:left="0" w:firstLine="0" w:firstLineChars="0"/>
              <w:textAlignment w:val="baseline"/>
              <w:rPr>
                <w:color w:val="auto"/>
                <w:sz w:val="24"/>
                <w:szCs w:val="24"/>
                <w:highlight w:val="none"/>
              </w:rPr>
            </w:pPr>
            <w:r>
              <w:rPr>
                <w:rFonts w:ascii="黑体" w:eastAsia="黑体" w:hAnsi="黑体" w:hint="eastAsia"/>
                <w:color w:val="auto"/>
                <w:sz w:val="24"/>
                <w:szCs w:val="24"/>
                <w:highlight w:val="none"/>
              </w:rPr>
              <w:t>钟  毅</w:t>
            </w:r>
          </w:p>
        </w:tc>
        <w:tc>
          <w:tcPr>
            <w:tcW w:w="1559" w:type="dxa"/>
            <w:tcBorders>
              <w:top w:val="nil"/>
              <w:left w:val="nil"/>
              <w:bottom w:val="nil"/>
              <w:right w:val="nil"/>
            </w:tcBorders>
            <w:vAlign w:val="bottom"/>
          </w:tcPr>
          <w:p>
            <w:pPr>
              <w:keepNext w:val="0"/>
              <w:keepLines w:val="0"/>
              <w:pageBreakBefore w:val="0"/>
              <w:widowControl w:val="0"/>
              <w:kinsoku/>
              <w:wordWrap/>
              <w:overflowPunct/>
              <w:topLinePunct w:val="0"/>
              <w:autoSpaceDE/>
              <w:autoSpaceDN/>
              <w:bidi w:val="0"/>
              <w:adjustRightInd/>
              <w:snapToGrid/>
              <w:spacing w:before="283" w:after="283" w:line="360" w:lineRule="auto"/>
              <w:ind w:left="0" w:firstLine="0" w:firstLineChars="0"/>
              <w:textAlignment w:val="baseline"/>
              <w:rPr>
                <w:rFonts w:eastAsiaTheme="minorEastAsia" w:hint="default"/>
                <w:color w:val="auto"/>
                <w:sz w:val="24"/>
                <w:szCs w:val="24"/>
                <w:highlight w:val="none"/>
                <w:u w:val="single"/>
                <w:lang w:val="en-US" w:eastAsia="zh-CN"/>
              </w:rPr>
            </w:pPr>
            <w:r>
              <w:rPr>
                <w:rFonts w:hint="eastAsia"/>
                <w:color w:val="auto"/>
                <w:sz w:val="24"/>
                <w:szCs w:val="24"/>
                <w:highlight w:val="none"/>
                <w:u w:val="single"/>
                <w:lang w:val="en-US" w:eastAsia="zh-CN"/>
              </w:rPr>
              <w:t xml:space="preserve">           </w:t>
            </w:r>
          </w:p>
        </w:tc>
      </w:tr>
      <w:tr>
        <w:tblPrEx>
          <w:tblW w:w="0" w:type="auto"/>
          <w:jc w:val="center"/>
          <w:tblCellMar>
            <w:top w:w="0" w:type="dxa"/>
            <w:left w:w="108" w:type="dxa"/>
            <w:bottom w:w="0" w:type="dxa"/>
            <w:right w:w="108" w:type="dxa"/>
          </w:tblCellMar>
        </w:tblPrEx>
        <w:trPr>
          <w:jc w:val="center"/>
        </w:trPr>
        <w:tc>
          <w:tcPr>
            <w:tcW w:w="2977" w:type="dxa"/>
            <w:tcBorders>
              <w:top w:val="nil"/>
              <w:left w:val="nil"/>
              <w:bottom w:val="nil"/>
              <w:right w:val="nil"/>
            </w:tcBorders>
            <w:vAlign w:val="bottom"/>
          </w:tcPr>
          <w:p>
            <w:pPr>
              <w:keepNext w:val="0"/>
              <w:keepLines w:val="0"/>
              <w:pageBreakBefore w:val="0"/>
              <w:widowControl w:val="0"/>
              <w:kinsoku/>
              <w:wordWrap/>
              <w:overflowPunct/>
              <w:topLinePunct w:val="0"/>
              <w:autoSpaceDE/>
              <w:autoSpaceDN/>
              <w:bidi w:val="0"/>
              <w:adjustRightInd/>
              <w:snapToGrid/>
              <w:spacing w:before="283" w:after="283" w:line="360" w:lineRule="auto"/>
              <w:ind w:left="0" w:firstLine="0" w:firstLineChars="0"/>
              <w:textAlignment w:val="baseline"/>
              <w:rPr>
                <w:color w:val="auto"/>
                <w:sz w:val="24"/>
                <w:szCs w:val="24"/>
                <w:highlight w:val="none"/>
              </w:rPr>
            </w:pPr>
            <w:r>
              <w:rPr>
                <w:rFonts w:ascii="黑体" w:eastAsia="黑体" w:hAnsi="黑体" w:hint="eastAsia"/>
                <w:color w:val="auto"/>
                <w:spacing w:val="108"/>
                <w:kern w:val="0"/>
                <w:sz w:val="24"/>
                <w:szCs w:val="24"/>
                <w:highlight w:val="none"/>
                <w:fitText w:val="2520" w:id="1797684132"/>
              </w:rPr>
              <w:t>技术总负责</w:t>
            </w:r>
            <w:r>
              <w:rPr>
                <w:rFonts w:ascii="黑体" w:eastAsia="黑体" w:hAnsi="黑体" w:hint="eastAsia"/>
                <w:color w:val="auto"/>
                <w:spacing w:val="0"/>
                <w:kern w:val="0"/>
                <w:sz w:val="24"/>
                <w:szCs w:val="24"/>
                <w:highlight w:val="none"/>
                <w:fitText w:val="2520" w:id="1797684132"/>
              </w:rPr>
              <w:t>人</w:t>
            </w:r>
            <w:r>
              <w:rPr>
                <w:rFonts w:ascii="黑体" w:eastAsia="黑体" w:hAnsi="黑体" w:hint="eastAsia"/>
                <w:color w:val="auto"/>
                <w:sz w:val="24"/>
                <w:szCs w:val="24"/>
                <w:highlight w:val="none"/>
              </w:rPr>
              <w:t>：</w:t>
            </w:r>
          </w:p>
        </w:tc>
        <w:tc>
          <w:tcPr>
            <w:tcW w:w="1021" w:type="dxa"/>
            <w:tcBorders>
              <w:top w:val="nil"/>
              <w:left w:val="nil"/>
              <w:bottom w:val="nil"/>
              <w:right w:val="nil"/>
            </w:tcBorders>
            <w:vAlign w:val="bottom"/>
          </w:tcPr>
          <w:p>
            <w:pPr>
              <w:keepNext w:val="0"/>
              <w:keepLines w:val="0"/>
              <w:pageBreakBefore w:val="0"/>
              <w:widowControl w:val="0"/>
              <w:kinsoku/>
              <w:wordWrap/>
              <w:overflowPunct/>
              <w:topLinePunct w:val="0"/>
              <w:autoSpaceDE/>
              <w:autoSpaceDN/>
              <w:bidi w:val="0"/>
              <w:adjustRightInd/>
              <w:snapToGrid/>
              <w:spacing w:before="283" w:after="283" w:line="360" w:lineRule="auto"/>
              <w:ind w:left="0" w:firstLine="0" w:firstLineChars="0"/>
              <w:textAlignment w:val="baseline"/>
              <w:rPr>
                <w:color w:val="auto"/>
                <w:sz w:val="24"/>
                <w:szCs w:val="24"/>
                <w:highlight w:val="none"/>
              </w:rPr>
            </w:pPr>
            <w:r>
              <w:rPr>
                <w:rFonts w:ascii="黑体" w:eastAsia="黑体" w:hAnsi="黑体" w:hint="eastAsia"/>
                <w:color w:val="auto"/>
                <w:sz w:val="24"/>
                <w:szCs w:val="24"/>
                <w:highlight w:val="none"/>
              </w:rPr>
              <w:t>陈  玉</w:t>
            </w:r>
          </w:p>
        </w:tc>
        <w:tc>
          <w:tcPr>
            <w:tcW w:w="1559" w:type="dxa"/>
            <w:tcBorders>
              <w:top w:val="nil"/>
              <w:left w:val="nil"/>
              <w:bottom w:val="nil"/>
              <w:right w:val="nil"/>
            </w:tcBorders>
            <w:vAlign w:val="bottom"/>
          </w:tcPr>
          <w:p>
            <w:pPr>
              <w:keepNext w:val="0"/>
              <w:keepLines w:val="0"/>
              <w:pageBreakBefore w:val="0"/>
              <w:widowControl w:val="0"/>
              <w:kinsoku/>
              <w:wordWrap/>
              <w:overflowPunct/>
              <w:topLinePunct w:val="0"/>
              <w:autoSpaceDE/>
              <w:autoSpaceDN/>
              <w:bidi w:val="0"/>
              <w:adjustRightInd/>
              <w:snapToGrid/>
              <w:spacing w:before="283" w:after="283" w:line="360" w:lineRule="auto"/>
              <w:ind w:left="0" w:firstLine="0" w:leftChars="0" w:firstLineChars="0"/>
              <w:textAlignment w:val="baseline"/>
              <w:rPr>
                <w:rFonts w:asciiTheme="minorHAnsi" w:eastAsiaTheme="minorEastAsia" w:hAnsiTheme="minorHAnsi" w:cstheme="minorBidi" w:hint="default"/>
                <w:color w:val="auto"/>
                <w:kern w:val="2"/>
                <w:sz w:val="24"/>
                <w:szCs w:val="24"/>
                <w:highlight w:val="none"/>
                <w:u w:val="single"/>
                <w:lang w:val="en-US" w:eastAsia="zh-CN" w:bidi="ar-SA"/>
              </w:rPr>
            </w:pPr>
            <w:r>
              <w:rPr>
                <w:rFonts w:hint="eastAsia"/>
                <w:color w:val="auto"/>
                <w:sz w:val="24"/>
                <w:szCs w:val="24"/>
                <w:highlight w:val="none"/>
                <w:u w:val="single"/>
                <w:lang w:val="en-US" w:eastAsia="zh-CN"/>
              </w:rPr>
              <w:t xml:space="preserve">           </w:t>
            </w:r>
          </w:p>
        </w:tc>
      </w:tr>
      <w:tr>
        <w:tblPrEx>
          <w:tblW w:w="0" w:type="auto"/>
          <w:jc w:val="center"/>
          <w:tblCellMar>
            <w:top w:w="0" w:type="dxa"/>
            <w:left w:w="108" w:type="dxa"/>
            <w:bottom w:w="0" w:type="dxa"/>
            <w:right w:w="108" w:type="dxa"/>
          </w:tblCellMar>
        </w:tblPrEx>
        <w:trPr>
          <w:jc w:val="center"/>
        </w:trPr>
        <w:tc>
          <w:tcPr>
            <w:tcW w:w="2977" w:type="dxa"/>
            <w:tcBorders>
              <w:top w:val="nil"/>
              <w:left w:val="nil"/>
              <w:bottom w:val="nil"/>
              <w:right w:val="nil"/>
            </w:tcBorders>
            <w:vAlign w:val="bottom"/>
          </w:tcPr>
          <w:p>
            <w:pPr>
              <w:keepNext w:val="0"/>
              <w:keepLines w:val="0"/>
              <w:pageBreakBefore w:val="0"/>
              <w:widowControl w:val="0"/>
              <w:kinsoku/>
              <w:wordWrap/>
              <w:overflowPunct/>
              <w:topLinePunct w:val="0"/>
              <w:autoSpaceDE/>
              <w:autoSpaceDN/>
              <w:bidi w:val="0"/>
              <w:adjustRightInd/>
              <w:snapToGrid/>
              <w:spacing w:before="283" w:after="283" w:line="360" w:lineRule="auto"/>
              <w:ind w:left="0" w:firstLine="0" w:firstLineChars="0"/>
              <w:jc w:val="distribute"/>
              <w:textAlignment w:val="baseline"/>
              <w:rPr>
                <w:rFonts w:ascii="黑体" w:eastAsia="黑体" w:hAnsi="黑体"/>
                <w:color w:val="auto"/>
                <w:spacing w:val="34"/>
                <w:w w:val="93"/>
                <w:kern w:val="0"/>
                <w:sz w:val="24"/>
                <w:szCs w:val="24"/>
                <w:highlight w:val="none"/>
              </w:rPr>
            </w:pPr>
            <w:r>
              <w:rPr>
                <w:rFonts w:ascii="黑体" w:eastAsia="黑体" w:hAnsi="黑体" w:hint="eastAsia"/>
                <w:color w:val="auto"/>
                <w:spacing w:val="0"/>
                <w:w w:val="84"/>
                <w:kern w:val="0"/>
                <w:sz w:val="24"/>
                <w:szCs w:val="24"/>
                <w:highlight w:val="none"/>
                <w:fitText w:val="2520" w:id="1379019343"/>
              </w:rPr>
              <w:t xml:space="preserve">项 </w:t>
            </w:r>
            <w:r>
              <w:rPr>
                <w:rFonts w:ascii="黑体" w:eastAsia="黑体" w:hAnsi="黑体"/>
                <w:color w:val="auto"/>
                <w:spacing w:val="0"/>
                <w:w w:val="84"/>
                <w:kern w:val="0"/>
                <w:sz w:val="24"/>
                <w:szCs w:val="24"/>
                <w:highlight w:val="none"/>
                <w:fitText w:val="2520" w:id="1379019343"/>
              </w:rPr>
              <w:t xml:space="preserve"> </w:t>
            </w:r>
            <w:r>
              <w:rPr>
                <w:rFonts w:ascii="黑体" w:eastAsia="黑体" w:hAnsi="黑体" w:hint="eastAsia"/>
                <w:color w:val="auto"/>
                <w:spacing w:val="0"/>
                <w:w w:val="84"/>
                <w:kern w:val="0"/>
                <w:sz w:val="24"/>
                <w:szCs w:val="24"/>
                <w:highlight w:val="none"/>
                <w:fitText w:val="2520" w:id="1379019343"/>
              </w:rPr>
              <w:t xml:space="preserve">目 </w:t>
            </w:r>
            <w:r>
              <w:rPr>
                <w:rFonts w:ascii="黑体" w:eastAsia="黑体" w:hAnsi="黑体"/>
                <w:color w:val="auto"/>
                <w:spacing w:val="0"/>
                <w:w w:val="84"/>
                <w:kern w:val="0"/>
                <w:sz w:val="24"/>
                <w:szCs w:val="24"/>
                <w:highlight w:val="none"/>
                <w:fitText w:val="2520" w:id="1379019343"/>
              </w:rPr>
              <w:t xml:space="preserve"> </w:t>
            </w:r>
            <w:r>
              <w:rPr>
                <w:rFonts w:ascii="黑体" w:eastAsia="黑体" w:hAnsi="黑体" w:hint="eastAsia"/>
                <w:color w:val="auto"/>
                <w:spacing w:val="0"/>
                <w:w w:val="84"/>
                <w:kern w:val="0"/>
                <w:sz w:val="24"/>
                <w:szCs w:val="24"/>
                <w:highlight w:val="none"/>
                <w:fitText w:val="2520" w:id="1379019343"/>
              </w:rPr>
              <w:t>设 计 总 负 责</w:t>
            </w:r>
            <w:r>
              <w:rPr>
                <w:rFonts w:ascii="黑体" w:eastAsia="黑体" w:hAnsi="黑体"/>
                <w:color w:val="auto"/>
                <w:spacing w:val="0"/>
                <w:w w:val="84"/>
                <w:kern w:val="0"/>
                <w:sz w:val="24"/>
                <w:szCs w:val="24"/>
                <w:highlight w:val="none"/>
                <w:fitText w:val="2520" w:id="1379019343"/>
              </w:rPr>
              <w:t xml:space="preserve"> </w:t>
            </w:r>
            <w:r>
              <w:rPr>
                <w:rFonts w:ascii="黑体" w:eastAsia="黑体" w:hAnsi="黑体" w:hint="eastAsia"/>
                <w:color w:val="auto"/>
                <w:spacing w:val="4"/>
                <w:w w:val="84"/>
                <w:kern w:val="0"/>
                <w:sz w:val="24"/>
                <w:szCs w:val="24"/>
                <w:highlight w:val="none"/>
                <w:fitText w:val="2520" w:id="1379019343"/>
              </w:rPr>
              <w:t>人</w:t>
            </w:r>
            <w:r>
              <w:rPr>
                <w:rFonts w:ascii="黑体" w:eastAsia="黑体" w:hAnsi="黑体" w:hint="eastAsia"/>
                <w:color w:val="auto"/>
                <w:sz w:val="24"/>
                <w:szCs w:val="24"/>
                <w:highlight w:val="none"/>
              </w:rPr>
              <w:t>：</w:t>
            </w:r>
          </w:p>
        </w:tc>
        <w:tc>
          <w:tcPr>
            <w:tcW w:w="1021" w:type="dxa"/>
            <w:tcBorders>
              <w:top w:val="nil"/>
              <w:left w:val="nil"/>
              <w:bottom w:val="nil"/>
              <w:right w:val="nil"/>
            </w:tcBorders>
            <w:vAlign w:val="bottom"/>
          </w:tcPr>
          <w:p>
            <w:pPr>
              <w:keepNext w:val="0"/>
              <w:keepLines w:val="0"/>
              <w:pageBreakBefore w:val="0"/>
              <w:widowControl w:val="0"/>
              <w:kinsoku/>
              <w:wordWrap/>
              <w:overflowPunct/>
              <w:topLinePunct w:val="0"/>
              <w:autoSpaceDE/>
              <w:autoSpaceDN/>
              <w:bidi w:val="0"/>
              <w:adjustRightInd/>
              <w:snapToGrid/>
              <w:spacing w:before="283" w:after="283" w:line="360" w:lineRule="auto"/>
              <w:ind w:left="0" w:firstLine="0" w:firstLineChars="0"/>
              <w:textAlignment w:val="baseline"/>
              <w:rPr>
                <w:color w:val="auto"/>
                <w:sz w:val="24"/>
                <w:szCs w:val="24"/>
                <w:highlight w:val="none"/>
              </w:rPr>
            </w:pPr>
            <w:r>
              <w:rPr>
                <w:rFonts w:ascii="黑体" w:eastAsia="黑体" w:hAnsi="黑体" w:hint="eastAsia"/>
                <w:color w:val="auto"/>
                <w:sz w:val="24"/>
                <w:szCs w:val="24"/>
                <w:highlight w:val="none"/>
              </w:rPr>
              <w:t>张晓婷</w:t>
            </w:r>
          </w:p>
        </w:tc>
        <w:tc>
          <w:tcPr>
            <w:tcW w:w="1559" w:type="dxa"/>
            <w:tcBorders>
              <w:top w:val="nil"/>
              <w:left w:val="nil"/>
              <w:bottom w:val="nil"/>
              <w:right w:val="nil"/>
            </w:tcBorders>
            <w:vAlign w:val="bottom"/>
          </w:tcPr>
          <w:p>
            <w:pPr>
              <w:keepNext w:val="0"/>
              <w:keepLines w:val="0"/>
              <w:pageBreakBefore w:val="0"/>
              <w:widowControl w:val="0"/>
              <w:kinsoku/>
              <w:wordWrap/>
              <w:overflowPunct/>
              <w:topLinePunct w:val="0"/>
              <w:autoSpaceDE/>
              <w:autoSpaceDN/>
              <w:bidi w:val="0"/>
              <w:adjustRightInd/>
              <w:snapToGrid/>
              <w:spacing w:before="283" w:after="283" w:line="360" w:lineRule="auto"/>
              <w:ind w:left="0" w:firstLine="0" w:leftChars="0" w:firstLineChars="0"/>
              <w:textAlignment w:val="baseline"/>
              <w:rPr>
                <w:rFonts w:asciiTheme="minorHAnsi" w:eastAsiaTheme="minorEastAsia" w:hAnsiTheme="minorHAnsi" w:cstheme="minorBidi" w:hint="default"/>
                <w:color w:val="auto"/>
                <w:kern w:val="2"/>
                <w:sz w:val="24"/>
                <w:szCs w:val="24"/>
                <w:highlight w:val="none"/>
                <w:u w:val="single"/>
                <w:lang w:val="en-US" w:eastAsia="zh-CN" w:bidi="ar-SA"/>
              </w:rPr>
            </w:pPr>
            <w:r>
              <w:rPr>
                <w:rFonts w:hint="eastAsia"/>
                <w:color w:val="auto"/>
                <w:sz w:val="24"/>
                <w:szCs w:val="24"/>
                <w:highlight w:val="none"/>
                <w:u w:val="single"/>
                <w:lang w:val="en-US" w:eastAsia="zh-CN"/>
              </w:rPr>
              <w:t xml:space="preserve">           </w:t>
            </w:r>
          </w:p>
        </w:tc>
      </w:tr>
      <w:tr>
        <w:tblPrEx>
          <w:tblW w:w="0" w:type="auto"/>
          <w:jc w:val="center"/>
          <w:tblCellMar>
            <w:top w:w="0" w:type="dxa"/>
            <w:left w:w="108" w:type="dxa"/>
            <w:bottom w:w="0" w:type="dxa"/>
            <w:right w:w="108" w:type="dxa"/>
          </w:tblCellMar>
        </w:tblPrEx>
        <w:trPr>
          <w:jc w:val="center"/>
        </w:trPr>
        <w:tc>
          <w:tcPr>
            <w:tcW w:w="2977" w:type="dxa"/>
            <w:tcBorders>
              <w:top w:val="nil"/>
              <w:left w:val="nil"/>
              <w:bottom w:val="nil"/>
              <w:right w:val="nil"/>
            </w:tcBorders>
            <w:vAlign w:val="bottom"/>
          </w:tcPr>
          <w:p>
            <w:pPr>
              <w:keepNext w:val="0"/>
              <w:keepLines w:val="0"/>
              <w:pageBreakBefore w:val="0"/>
              <w:widowControl w:val="0"/>
              <w:kinsoku/>
              <w:wordWrap/>
              <w:overflowPunct/>
              <w:topLinePunct w:val="0"/>
              <w:autoSpaceDE/>
              <w:autoSpaceDN/>
              <w:bidi w:val="0"/>
              <w:adjustRightInd/>
              <w:snapToGrid/>
              <w:spacing w:before="283" w:after="283" w:line="360" w:lineRule="auto"/>
              <w:ind w:left="0" w:firstLine="0" w:firstLineChars="0"/>
              <w:textAlignment w:val="baseline"/>
              <w:rPr>
                <w:color w:val="auto"/>
                <w:sz w:val="24"/>
                <w:szCs w:val="24"/>
                <w:highlight w:val="none"/>
              </w:rPr>
            </w:pPr>
            <w:r>
              <w:rPr>
                <w:rFonts w:ascii="黑体" w:eastAsia="黑体" w:hAnsi="黑体" w:hint="eastAsia"/>
                <w:color w:val="auto"/>
                <w:spacing w:val="22"/>
                <w:kern w:val="0"/>
                <w:sz w:val="24"/>
                <w:szCs w:val="24"/>
                <w:highlight w:val="none"/>
                <w:fitText w:val="2520" w:id="1283079970"/>
              </w:rPr>
              <w:t>项目编制执行负责</w:t>
            </w:r>
            <w:r>
              <w:rPr>
                <w:rFonts w:ascii="黑体" w:eastAsia="黑体" w:hAnsi="黑体" w:hint="eastAsia"/>
                <w:color w:val="auto"/>
                <w:spacing w:val="4"/>
                <w:kern w:val="0"/>
                <w:sz w:val="24"/>
                <w:szCs w:val="24"/>
                <w:highlight w:val="none"/>
                <w:fitText w:val="2520" w:id="1283079970"/>
              </w:rPr>
              <w:t>人</w:t>
            </w:r>
            <w:r>
              <w:rPr>
                <w:rFonts w:ascii="黑体" w:eastAsia="黑体" w:hAnsi="黑体" w:hint="eastAsia"/>
                <w:color w:val="auto"/>
                <w:kern w:val="0"/>
                <w:sz w:val="24"/>
                <w:szCs w:val="24"/>
                <w:highlight w:val="none"/>
              </w:rPr>
              <w:t>：</w:t>
            </w:r>
          </w:p>
        </w:tc>
        <w:tc>
          <w:tcPr>
            <w:tcW w:w="1021" w:type="dxa"/>
            <w:tcBorders>
              <w:top w:val="nil"/>
              <w:left w:val="nil"/>
              <w:bottom w:val="nil"/>
              <w:right w:val="nil"/>
            </w:tcBorders>
            <w:vAlign w:val="bottom"/>
          </w:tcPr>
          <w:p>
            <w:pPr>
              <w:keepNext w:val="0"/>
              <w:keepLines w:val="0"/>
              <w:pageBreakBefore w:val="0"/>
              <w:widowControl w:val="0"/>
              <w:kinsoku/>
              <w:wordWrap/>
              <w:overflowPunct/>
              <w:topLinePunct w:val="0"/>
              <w:autoSpaceDE/>
              <w:autoSpaceDN/>
              <w:bidi w:val="0"/>
              <w:adjustRightInd/>
              <w:snapToGrid/>
              <w:spacing w:before="283" w:after="283" w:line="360" w:lineRule="auto"/>
              <w:ind w:left="0" w:firstLine="0" w:firstLineChars="0"/>
              <w:textAlignment w:val="baseline"/>
              <w:rPr>
                <w:color w:val="auto"/>
                <w:sz w:val="24"/>
                <w:szCs w:val="24"/>
                <w:highlight w:val="none"/>
              </w:rPr>
            </w:pPr>
            <w:r>
              <w:rPr>
                <w:rFonts w:ascii="黑体" w:eastAsia="黑体" w:hAnsi="黑体" w:hint="eastAsia"/>
                <w:color w:val="auto"/>
                <w:kern w:val="0"/>
                <w:sz w:val="24"/>
                <w:szCs w:val="24"/>
                <w:highlight w:val="none"/>
              </w:rPr>
              <w:t>黄滨荃</w:t>
            </w:r>
          </w:p>
        </w:tc>
        <w:tc>
          <w:tcPr>
            <w:tcW w:w="1559" w:type="dxa"/>
            <w:tcBorders>
              <w:top w:val="nil"/>
              <w:left w:val="nil"/>
              <w:bottom w:val="nil"/>
              <w:right w:val="nil"/>
            </w:tcBorders>
            <w:vAlign w:val="bottom"/>
          </w:tcPr>
          <w:p>
            <w:pPr>
              <w:keepNext w:val="0"/>
              <w:keepLines w:val="0"/>
              <w:pageBreakBefore w:val="0"/>
              <w:widowControl w:val="0"/>
              <w:kinsoku/>
              <w:wordWrap/>
              <w:overflowPunct/>
              <w:topLinePunct w:val="0"/>
              <w:autoSpaceDE/>
              <w:autoSpaceDN/>
              <w:bidi w:val="0"/>
              <w:adjustRightInd/>
              <w:snapToGrid/>
              <w:spacing w:before="283" w:after="283" w:line="360" w:lineRule="auto"/>
              <w:ind w:left="0" w:firstLine="0" w:leftChars="0" w:firstLineChars="0"/>
              <w:textAlignment w:val="baseline"/>
              <w:rPr>
                <w:rFonts w:asciiTheme="minorHAnsi" w:eastAsiaTheme="minorEastAsia" w:hAnsiTheme="minorHAnsi" w:cstheme="minorBidi" w:hint="default"/>
                <w:color w:val="auto"/>
                <w:kern w:val="2"/>
                <w:sz w:val="24"/>
                <w:szCs w:val="24"/>
                <w:highlight w:val="none"/>
                <w:u w:val="single"/>
                <w:lang w:val="en-US" w:eastAsia="zh-CN" w:bidi="ar-SA"/>
              </w:rPr>
            </w:pPr>
            <w:r>
              <w:rPr>
                <w:rFonts w:hint="eastAsia"/>
                <w:color w:val="auto"/>
                <w:sz w:val="24"/>
                <w:szCs w:val="24"/>
                <w:highlight w:val="none"/>
                <w:u w:val="single"/>
                <w:lang w:val="en-US" w:eastAsia="zh-CN"/>
              </w:rPr>
              <w:t xml:space="preserve">           </w:t>
            </w:r>
          </w:p>
        </w:tc>
      </w:tr>
    </w:tbl>
    <w:p>
      <w:pPr>
        <w:ind w:firstLine="560"/>
        <w:jc w:val="center"/>
        <w:rPr>
          <w:color w:val="auto"/>
          <w:highlight w:val="none"/>
        </w:rPr>
      </w:pPr>
    </w:p>
    <w:p>
      <w:pPr>
        <w:ind w:firstLine="560"/>
        <w:jc w:val="center"/>
        <w:rPr>
          <w:color w:val="auto"/>
          <w:highlight w:val="none"/>
        </w:rPr>
      </w:pPr>
    </w:p>
    <w:p>
      <w:pPr>
        <w:ind w:firstLine="560"/>
        <w:jc w:val="center"/>
        <w:rPr>
          <w:color w:val="auto"/>
          <w:highlight w:val="none"/>
        </w:rPr>
      </w:pPr>
    </w:p>
    <w:p>
      <w:pPr>
        <w:ind w:firstLine="560"/>
        <w:jc w:val="center"/>
        <w:rPr>
          <w:color w:val="auto"/>
          <w:highlight w:val="none"/>
        </w:rPr>
      </w:pPr>
    </w:p>
    <w:p>
      <w:pPr>
        <w:ind w:firstLine="560"/>
        <w:jc w:val="center"/>
        <w:rPr>
          <w:color w:val="auto"/>
          <w:highlight w:val="none"/>
        </w:rPr>
      </w:pPr>
    </w:p>
    <w:p>
      <w:pPr>
        <w:ind w:firstLine="560"/>
        <w:jc w:val="center"/>
        <w:rPr>
          <w:color w:val="auto"/>
          <w:highlight w:val="none"/>
        </w:rPr>
      </w:pPr>
    </w:p>
    <w:p>
      <w:pPr>
        <w:ind w:firstLine="560"/>
        <w:jc w:val="center"/>
        <w:rPr>
          <w:color w:val="auto"/>
          <w:highlight w:val="none"/>
        </w:rPr>
      </w:pPr>
    </w:p>
    <w:p>
      <w:pPr>
        <w:ind w:firstLine="560"/>
        <w:jc w:val="center"/>
        <w:rPr>
          <w:color w:val="auto"/>
          <w:highlight w:val="none"/>
        </w:rPr>
      </w:pPr>
    </w:p>
    <w:p>
      <w:pPr>
        <w:rPr>
          <w:color w:val="auto"/>
          <w:highlight w:val="none"/>
        </w:rPr>
      </w:pPr>
    </w:p>
    <w:p>
      <w:pPr>
        <w:tabs>
          <w:tab w:val="left" w:pos="851"/>
        </w:tabs>
        <w:spacing w:before="72" w:beforeLines="30" w:after="72" w:afterLines="30"/>
        <w:ind w:firstLine="560"/>
        <w:jc w:val="center"/>
        <w:rPr>
          <w:color w:val="auto"/>
          <w:highlight w:val="none"/>
        </w:rPr>
      </w:pPr>
      <w:r>
        <w:rPr>
          <w:color w:val="auto"/>
          <w:highlight w:val="none"/>
        </w:rPr>
        <mc:AlternateContent>
          <mc:Choice Requires="wpg">
            <w:drawing>
              <wp:inline distT="0" distB="0" distL="0" distR="0">
                <wp:extent cx="3309620" cy="888365"/>
                <wp:effectExtent l="0" t="0" r="0" b="6985"/>
                <wp:docPr id="95" name="组合 95"/>
                <wp:cNvGraphicFramePr/>
                <a:graphic xmlns:a="http://schemas.openxmlformats.org/drawingml/2006/main">
                  <a:graphicData uri="http://schemas.microsoft.com/office/word/2010/wordprocessingGroup">
                    <wpg:wgp xmlns:wpg="http://schemas.microsoft.com/office/word/2010/wordprocessingGroup">
                      <wpg:cNvGrpSpPr>
                        <a:grpSpLocks noRot="1"/>
                      </wpg:cNvGrpSpPr>
                      <wpg:grpSpPr>
                        <a:xfrm>
                          <a:off x="0" y="0"/>
                          <a:ext cx="3309620" cy="888365"/>
                          <a:chOff x="9391" y="11238"/>
                          <a:chExt cx="5212" cy="1399"/>
                        </a:xfrm>
                      </wpg:grpSpPr>
                      <wps:wsp xmlns:wps="http://schemas.microsoft.com/office/word/2010/wordprocessingShape">
                        <wps:cNvPr id="96" name="文本框 84"/>
                        <wps:cNvSpPr txBox="1"/>
                        <wps:spPr>
                          <a:xfrm>
                            <a:off x="9634" y="12153"/>
                            <a:ext cx="4969" cy="484"/>
                          </a:xfrm>
                          <a:prstGeom prst="rect">
                            <a:avLst/>
                          </a:prstGeom>
                          <a:noFill/>
                          <a:ln>
                            <a:noFill/>
                          </a:ln>
                        </wps:spPr>
                        <wps:txbx>
                          <w:txbxContent>
                            <w:p>
                              <w:pPr>
                                <w:spacing w:line="480" w:lineRule="auto"/>
                                <w:ind w:left="0" w:firstLine="0" w:leftChars="0" w:firstLineChars="0"/>
                                <w:rPr>
                                  <w:rFonts w:ascii="黑体" w:eastAsia="黑体" w:hAnsi="黑体"/>
                                  <w:sz w:val="18"/>
                                  <w:szCs w:val="18"/>
                                </w:rPr>
                              </w:pPr>
                              <w:r>
                                <w:rPr>
                                  <w:rFonts w:ascii="黑体" w:eastAsia="黑体" w:hAnsi="黑体" w:hint="eastAsia"/>
                                  <w:sz w:val="18"/>
                                  <w:szCs w:val="18"/>
                                </w:rPr>
                                <w:t>城乡规划编制资质证书：甲级 自资规甲字21450168</w:t>
                              </w:r>
                            </w:p>
                          </w:txbxContent>
                        </wps:txbx>
                        <wps:bodyPr wrap="square" upright="1"/>
                      </wps:wsp>
                      <pic:pic xmlns:pic="http://schemas.openxmlformats.org/drawingml/2006/picture">
                        <pic:nvPicPr>
                          <pic:cNvPr id="97" name="图片 12"/>
                          <pic:cNvPicPr>
                            <a:picLocks noChangeAspect="1"/>
                          </pic:cNvPicPr>
                        </pic:nvPicPr>
                        <pic:blipFill>
                          <a:blip xmlns:r="http://schemas.openxmlformats.org/officeDocument/2006/relationships" r:embed="rId6"/>
                          <a:srcRect l="5347" t="19963" r="7217" b="32843"/>
                          <a:stretch>
                            <a:fillRect/>
                          </a:stretch>
                        </pic:blipFill>
                        <pic:spPr>
                          <a:xfrm>
                            <a:off x="9391" y="11238"/>
                            <a:ext cx="5100" cy="764"/>
                          </a:xfrm>
                          <a:prstGeom prst="rect">
                            <a:avLst/>
                          </a:prstGeom>
                          <a:noFill/>
                          <a:ln>
                            <a:noFill/>
                          </a:ln>
                        </pic:spPr>
                      </pic:pic>
                    </wpg:wgp>
                  </a:graphicData>
                </a:graphic>
              </wp:inline>
            </w:drawing>
          </mc:Choice>
          <mc:Fallback>
            <w:pict>
              <v:group id="组合 95" o:spid="_x0000_i1025" style="height:70.5pt;mso-wrap-distance-bottom:0;mso-wrap-distance-left:0;mso-wrap-distance-right:0;mso-wrap-distance-top:0;width:260.6pt" coordsize="21600,21600">
                <v:shapetype id="_x0000_t202" coordsize="21600,21600" o:spt="202" path="m,l,21600r21600,l21600,xe">
                  <v:stroke joinstyle="miter"/>
                  <v:path gradientshapeok="t" o:connecttype="rect"/>
                </v:shapetype>
                <v:shape id="_x0000_s1026" type="#_x0000_t202" style="height:7473;left:39926;position:absolute;top:187637;width:20593" filled="f" fillcolor="this" stroked="f">
                  <v:textbox>
                    <w:txbxContent>
                      <w:p>
                        <w:pPr>
                          <w:spacing w:line="480" w:lineRule="auto"/>
                          <w:ind w:left="0" w:firstLine="0" w:leftChars="0" w:firstLineChars="0"/>
                          <w:rPr>
                            <w:rFonts w:ascii="黑体" w:eastAsia="黑体" w:hAnsi="黑体"/>
                            <w:sz w:val="18"/>
                            <w:szCs w:val="18"/>
                          </w:rPr>
                        </w:pPr>
                        <w:r>
                          <w:rPr>
                            <w:rFonts w:ascii="黑体" w:eastAsia="黑体" w:hAnsi="黑体" w:hint="eastAsia"/>
                            <w:sz w:val="18"/>
                            <w:szCs w:val="18"/>
                          </w:rPr>
                          <w:t>城乡规划编制资质证书：甲级 自资规甲字21450168</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height:11796;left:38919;position:absolute;top:173510;width:21136" filled="f" stroked="f">
                  <v:imagedata r:id="rId6" o:title="" croptop="13083f" cropbottom="21524f" cropleft="3504f" cropright="4730f"/>
                </v:shape>
              </v:group>
            </w:pict>
          </mc:Fallback>
        </mc:AlternateContent>
      </w:r>
    </w:p>
    <w:p>
      <w:pPr>
        <w:pStyle w:val="BodyText"/>
        <w:rPr>
          <w:rFonts w:ascii="黑体"/>
          <w:color w:val="auto"/>
          <w:sz w:val="32"/>
          <w:highlight w:val="none"/>
        </w:rPr>
        <w:sectPr>
          <w:headerReference w:type="default" r:id="rId7"/>
          <w:footerReference w:type="default" r:id="rId8"/>
          <w:footerReference w:type="first" r:id="rId9"/>
          <w:pgSz w:w="23814" w:h="16839" w:orient="landscape"/>
          <w:pgMar w:top="1080" w:right="1440" w:bottom="1080" w:left="1440" w:header="852" w:footer="1004" w:gutter="0"/>
          <w:cols w:num="1" w:space="720"/>
          <w:titlePg/>
          <w:docGrid w:linePitch="286" w:charSpace="0"/>
        </w:sectPr>
      </w:pP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eastAsiaTheme="minorEastAsia" w:hint="eastAsia"/>
          <w:color w:val="auto"/>
          <w:highlight w:val="none"/>
          <w:lang w:eastAsia="zh-CN"/>
        </w:rPr>
      </w:pPr>
      <w:r>
        <w:rPr>
          <w:rFonts w:eastAsiaTheme="minorEastAsia" w:hint="eastAsia"/>
          <w:color w:val="auto"/>
          <w:highlight w:val="none"/>
          <w:lang w:eastAsia="zh-CN"/>
        </w:rPr>
        <w:drawing>
          <wp:inline distT="0" distB="0" distL="114300" distR="114300">
            <wp:extent cx="6417945" cy="4537710"/>
            <wp:effectExtent l="0" t="0" r="1905" b="15240"/>
            <wp:docPr id="29" name="图片 29" descr="城乡规划编制甲级资质证书-华蓝设计(集团)有限公司（有效期至2025年12月31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城乡规划编制甲级资质证书-华蓝设计(集团)有限公司（有效期至2025年12月31日）"/>
                    <pic:cNvPicPr>
                      <a:picLocks noChangeAspect="1"/>
                    </pic:cNvPicPr>
                  </pic:nvPicPr>
                  <pic:blipFill>
                    <a:blip xmlns:r="http://schemas.openxmlformats.org/officeDocument/2006/relationships" r:embed="rId10"/>
                    <a:stretch>
                      <a:fillRect/>
                    </a:stretch>
                  </pic:blipFill>
                  <pic:spPr>
                    <a:xfrm>
                      <a:off x="0" y="0"/>
                      <a:ext cx="6417945" cy="4537710"/>
                    </a:xfrm>
                    <a:prstGeom prst="rect">
                      <a:avLst/>
                    </a:prstGeom>
                  </pic:spPr>
                </pic:pic>
              </a:graphicData>
            </a:graphic>
          </wp:inline>
        </w:drawing>
      </w:r>
    </w:p>
    <w:p>
      <w:pPr>
        <w:ind w:firstLine="560"/>
        <w:jc w:val="center"/>
        <w:rPr>
          <w:color w:val="auto"/>
          <w:highlight w:val="none"/>
        </w:rPr>
      </w:pP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r>
        <w:drawing>
          <wp:inline distT="0" distB="0" distL="114300" distR="114300">
            <wp:extent cx="6409690" cy="4284980"/>
            <wp:effectExtent l="0" t="0" r="10160" b="127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xmlns:r="http://schemas.openxmlformats.org/officeDocument/2006/relationships" r:embed="rId11"/>
                    <a:srcRect t="3694" b="2556"/>
                    <a:stretch>
                      <a:fillRect/>
                    </a:stretch>
                  </pic:blipFill>
                  <pic:spPr>
                    <a:xfrm>
                      <a:off x="0" y="0"/>
                      <a:ext cx="6409690" cy="4284980"/>
                    </a:xfrm>
                    <a:prstGeom prst="rect">
                      <a:avLst/>
                    </a:prstGeom>
                    <a:noFill/>
                    <a:ln>
                      <a:noFill/>
                    </a:ln>
                  </pic:spPr>
                </pic:pic>
              </a:graphicData>
            </a:graphic>
          </wp:inline>
        </w:drawing>
      </w:r>
    </w:p>
    <w:p>
      <w:pPr>
        <w:ind w:firstLine="560"/>
        <w:jc w:val="center"/>
        <w:rPr>
          <w:color w:val="auto"/>
          <w:highlight w:val="none"/>
        </w:rPr>
      </w:pPr>
    </w:p>
    <w:p>
      <w:pPr>
        <w:ind w:firstLine="560"/>
        <w:jc w:val="center"/>
        <w:rPr>
          <w:color w:val="auto"/>
          <w:highlight w:val="none"/>
        </w:rPr>
      </w:pPr>
    </w:p>
    <w:p>
      <w:pPr>
        <w:ind w:firstLine="560"/>
        <w:jc w:val="center"/>
        <w:rPr>
          <w:color w:val="auto"/>
          <w:highlight w:val="none"/>
        </w:rPr>
      </w:pPr>
    </w:p>
    <w:p>
      <w:pPr>
        <w:ind w:firstLine="560"/>
        <w:jc w:val="center"/>
        <w:rPr>
          <w:color w:val="auto"/>
          <w:highlight w:val="none"/>
        </w:rPr>
      </w:pPr>
    </w:p>
    <w:p>
      <w:pPr>
        <w:ind w:firstLine="560"/>
        <w:jc w:val="center"/>
        <w:rPr>
          <w:color w:val="auto"/>
          <w:sz w:val="24"/>
          <w:szCs w:val="24"/>
          <w:highlight w:val="none"/>
        </w:rPr>
      </w:pPr>
    </w:p>
    <w:p>
      <w:pPr>
        <w:widowControl/>
        <w:spacing w:line="360" w:lineRule="auto"/>
        <w:jc w:val="left"/>
        <w:rPr>
          <w:rFonts w:ascii="黑体" w:eastAsia="黑体" w:hAnsi="黑体"/>
          <w:b/>
          <w:bCs/>
          <w:color w:val="auto"/>
          <w:kern w:val="24"/>
          <w:sz w:val="24"/>
          <w:szCs w:val="24"/>
          <w:highlight w:val="none"/>
        </w:rPr>
      </w:pPr>
      <w:r>
        <w:rPr>
          <w:rFonts w:ascii="黑体" w:eastAsia="黑体" w:hAnsi="黑体" w:hint="eastAsia"/>
          <w:b/>
          <w:bCs/>
          <w:color w:val="auto"/>
          <w:kern w:val="24"/>
          <w:sz w:val="24"/>
          <w:szCs w:val="24"/>
          <w:highlight w:val="none"/>
        </w:rPr>
        <w:t>项目设计总负责人</w:t>
      </w:r>
      <w:r>
        <w:rPr>
          <w:rFonts w:ascii="黑体" w:eastAsia="黑体" w:hAnsi="黑体" w:hint="eastAsia"/>
          <w:b/>
          <w:bCs/>
          <w:color w:val="auto"/>
          <w:kern w:val="24"/>
          <w:sz w:val="24"/>
          <w:szCs w:val="24"/>
          <w:highlight w:val="none"/>
          <w:lang w:val="en-US" w:eastAsia="zh-CN"/>
        </w:rPr>
        <w:t xml:space="preserve">  </w:t>
      </w:r>
      <w:r>
        <w:rPr>
          <w:rFonts w:ascii="黑体" w:eastAsia="黑体" w:hAnsi="黑体" w:hint="eastAsia"/>
          <w:b/>
          <w:bCs/>
          <w:color w:val="auto"/>
          <w:kern w:val="24"/>
          <w:sz w:val="24"/>
          <w:szCs w:val="24"/>
          <w:highlight w:val="none"/>
        </w:rPr>
        <w:t>：</w:t>
      </w:r>
      <w:r>
        <w:rPr>
          <w:rFonts w:ascii="黑体" w:eastAsia="黑体" w:hAnsi="黑体" w:hint="eastAsia"/>
          <w:color w:val="auto"/>
          <w:kern w:val="24"/>
          <w:sz w:val="24"/>
          <w:szCs w:val="24"/>
          <w:highlight w:val="none"/>
        </w:rPr>
        <w:t>张晓婷（高级工程师）</w:t>
      </w:r>
    </w:p>
    <w:p>
      <w:pPr>
        <w:widowControl/>
        <w:spacing w:line="360" w:lineRule="auto"/>
        <w:jc w:val="left"/>
        <w:rPr>
          <w:rFonts w:ascii="黑体" w:eastAsia="黑体" w:hAnsi="黑体"/>
          <w:color w:val="auto"/>
          <w:kern w:val="24"/>
          <w:sz w:val="24"/>
          <w:szCs w:val="24"/>
          <w:highlight w:val="none"/>
        </w:rPr>
      </w:pPr>
      <w:r>
        <w:rPr>
          <w:rFonts w:ascii="黑体" w:eastAsia="黑体" w:hAnsi="黑体" w:hint="eastAsia"/>
          <w:b/>
          <w:bCs/>
          <w:color w:val="auto"/>
          <w:kern w:val="24"/>
          <w:sz w:val="24"/>
          <w:szCs w:val="24"/>
          <w:highlight w:val="none"/>
        </w:rPr>
        <w:t>项目设计执行负责人：</w:t>
      </w:r>
      <w:r>
        <w:rPr>
          <w:rFonts w:ascii="黑体" w:eastAsia="黑体" w:hAnsi="黑体" w:hint="eastAsia"/>
          <w:bCs/>
          <w:color w:val="auto"/>
          <w:kern w:val="24"/>
          <w:sz w:val="24"/>
          <w:szCs w:val="24"/>
          <w:highlight w:val="none"/>
        </w:rPr>
        <w:t>黄滨</w:t>
      </w:r>
      <w:r>
        <w:rPr>
          <w:rFonts w:ascii="黑体" w:eastAsia="黑体" w:hAnsi="黑体"/>
          <w:bCs/>
          <w:color w:val="auto"/>
          <w:kern w:val="24"/>
          <w:sz w:val="24"/>
          <w:szCs w:val="24"/>
          <w:highlight w:val="none"/>
        </w:rPr>
        <w:t>荃</w:t>
      </w:r>
      <w:r>
        <w:rPr>
          <w:rFonts w:ascii="黑体" w:eastAsia="黑体" w:hAnsi="黑体" w:hint="eastAsia"/>
          <w:color w:val="auto"/>
          <w:kern w:val="24"/>
          <w:sz w:val="24"/>
          <w:szCs w:val="24"/>
          <w:highlight w:val="none"/>
        </w:rPr>
        <w:t>（工程师）</w:t>
      </w:r>
    </w:p>
    <w:p>
      <w:pPr>
        <w:spacing w:line="360" w:lineRule="auto"/>
        <w:rPr>
          <w:rFonts w:ascii="黑体" w:eastAsia="黑体" w:hAnsi="黑体"/>
          <w:bCs/>
          <w:color w:val="auto"/>
          <w:kern w:val="24"/>
          <w:sz w:val="24"/>
          <w:szCs w:val="24"/>
          <w:highlight w:val="none"/>
        </w:rPr>
      </w:pPr>
      <w:r>
        <w:rPr>
          <w:rFonts w:ascii="黑体" w:eastAsia="黑体" w:hAnsi="黑体" w:hint="eastAsia"/>
          <w:b/>
          <w:bCs/>
          <w:color w:val="auto"/>
          <w:kern w:val="24"/>
          <w:sz w:val="24"/>
          <w:szCs w:val="24"/>
          <w:highlight w:val="none"/>
        </w:rPr>
        <w:t>项目主要编制人员</w:t>
      </w:r>
      <w:r>
        <w:rPr>
          <w:rFonts w:ascii="黑体" w:eastAsia="黑体" w:hAnsi="黑体" w:hint="eastAsia"/>
          <w:b/>
          <w:bCs/>
          <w:color w:val="auto"/>
          <w:kern w:val="24"/>
          <w:sz w:val="24"/>
          <w:szCs w:val="24"/>
          <w:highlight w:val="none"/>
          <w:lang w:val="en-US" w:eastAsia="zh-CN"/>
        </w:rPr>
        <w:t xml:space="preserve">  </w:t>
      </w:r>
      <w:r>
        <w:rPr>
          <w:rFonts w:ascii="黑体" w:eastAsia="黑体" w:hAnsi="黑体" w:hint="eastAsia"/>
          <w:b/>
          <w:bCs/>
          <w:color w:val="auto"/>
          <w:kern w:val="24"/>
          <w:sz w:val="24"/>
          <w:szCs w:val="24"/>
          <w:highlight w:val="none"/>
        </w:rPr>
        <w:t>：</w:t>
      </w:r>
      <w:r>
        <w:rPr>
          <w:rFonts w:ascii="黑体" w:eastAsia="黑体" w:hAnsi="黑体" w:hint="eastAsia"/>
          <w:bCs/>
          <w:color w:val="auto"/>
          <w:kern w:val="24"/>
          <w:sz w:val="24"/>
          <w:szCs w:val="24"/>
          <w:highlight w:val="none"/>
        </w:rPr>
        <w:t>朱</w:t>
      </w:r>
      <w:r>
        <w:rPr>
          <w:rFonts w:ascii="黑体" w:eastAsia="黑体" w:hAnsi="黑体"/>
          <w:bCs/>
          <w:color w:val="auto"/>
          <w:kern w:val="24"/>
          <w:sz w:val="24"/>
          <w:szCs w:val="24"/>
          <w:highlight w:val="none"/>
        </w:rPr>
        <w:t>尹祥</w:t>
      </w:r>
    </w:p>
    <w:p>
      <w:pPr>
        <w:spacing w:line="360" w:lineRule="auto"/>
        <w:rPr>
          <w:rFonts w:ascii="黑体" w:eastAsia="黑体" w:hAnsi="黑体"/>
          <w:bCs/>
          <w:color w:val="auto"/>
          <w:kern w:val="24"/>
          <w:sz w:val="24"/>
          <w:szCs w:val="24"/>
          <w:highlight w:val="none"/>
        </w:rPr>
      </w:pPr>
      <w:r>
        <w:rPr>
          <w:rFonts w:ascii="黑体" w:eastAsia="黑体" w:hAnsi="黑体"/>
          <w:bCs/>
          <w:color w:val="auto"/>
          <w:kern w:val="24"/>
          <w:sz w:val="24"/>
          <w:szCs w:val="24"/>
          <w:highlight w:val="none"/>
        </w:rPr>
        <w:t xml:space="preserve">   </w:t>
      </w:r>
      <w:r>
        <w:rPr>
          <w:rFonts w:ascii="黑体" w:eastAsia="黑体" w:hAnsi="黑体" w:hint="eastAsia"/>
          <w:bCs/>
          <w:color w:val="auto"/>
          <w:kern w:val="24"/>
          <w:sz w:val="24"/>
          <w:szCs w:val="24"/>
          <w:highlight w:val="none"/>
        </w:rPr>
        <w:t xml:space="preserve">                </w:t>
      </w:r>
      <w:r>
        <w:rPr>
          <w:rFonts w:ascii="黑体" w:eastAsia="黑体" w:hAnsi="黑体" w:hint="eastAsia"/>
          <w:bCs/>
          <w:color w:val="auto"/>
          <w:kern w:val="24"/>
          <w:sz w:val="24"/>
          <w:szCs w:val="24"/>
          <w:highlight w:val="none"/>
          <w:lang w:val="en-US" w:eastAsia="zh-CN"/>
        </w:rPr>
        <w:t xml:space="preserve"> </w:t>
      </w:r>
      <w:r>
        <w:rPr>
          <w:rFonts w:ascii="黑体" w:eastAsia="黑体" w:hAnsi="黑体" w:hint="eastAsia"/>
          <w:bCs/>
          <w:color w:val="auto"/>
          <w:kern w:val="24"/>
          <w:sz w:val="24"/>
          <w:szCs w:val="24"/>
          <w:highlight w:val="none"/>
        </w:rPr>
        <w:t>冯</w:t>
      </w:r>
      <w:r>
        <w:rPr>
          <w:rFonts w:ascii="黑体" w:eastAsia="黑体" w:hAnsi="黑体"/>
          <w:bCs/>
          <w:color w:val="auto"/>
          <w:kern w:val="24"/>
          <w:sz w:val="24"/>
          <w:szCs w:val="24"/>
          <w:highlight w:val="none"/>
        </w:rPr>
        <w:t>天寿</w:t>
      </w:r>
      <w:bookmarkStart w:id="0" w:name="_Toc22665"/>
    </w:p>
    <w:p>
      <w:pPr>
        <w:spacing w:line="360" w:lineRule="auto"/>
        <w:rPr>
          <w:rFonts w:ascii="黑体" w:eastAsia="黑体" w:hAnsi="黑体"/>
          <w:b/>
          <w:bCs/>
          <w:color w:val="auto"/>
          <w:kern w:val="24"/>
          <w:sz w:val="24"/>
          <w:szCs w:val="24"/>
          <w:highlight w:val="none"/>
        </w:rPr>
      </w:pPr>
      <w:r>
        <w:rPr>
          <w:rFonts w:ascii="黑体" w:eastAsia="黑体" w:hAnsi="黑体" w:hint="eastAsia"/>
          <w:bCs/>
          <w:color w:val="auto"/>
          <w:kern w:val="24"/>
          <w:sz w:val="24"/>
          <w:szCs w:val="24"/>
          <w:highlight w:val="none"/>
        </w:rPr>
        <w:t xml:space="preserve">                </w:t>
      </w:r>
      <w:r>
        <w:rPr>
          <w:rFonts w:ascii="黑体" w:eastAsia="黑体" w:hAnsi="黑体" w:hint="eastAsia"/>
          <w:bCs/>
          <w:color w:val="auto"/>
          <w:kern w:val="24"/>
          <w:sz w:val="24"/>
          <w:szCs w:val="24"/>
          <w:highlight w:val="none"/>
          <w:lang w:val="en-US" w:eastAsia="zh-CN"/>
        </w:rPr>
        <w:t xml:space="preserve"> </w:t>
      </w:r>
      <w:r>
        <w:rPr>
          <w:rFonts w:ascii="黑体" w:eastAsia="黑体" w:hAnsi="黑体" w:hint="eastAsia"/>
          <w:bCs/>
          <w:color w:val="auto"/>
          <w:kern w:val="24"/>
          <w:sz w:val="24"/>
          <w:szCs w:val="24"/>
          <w:highlight w:val="none"/>
        </w:rPr>
        <w:t xml:space="preserve">   刘红娟</w:t>
      </w:r>
    </w:p>
    <w:p>
      <w:pPr>
        <w:widowControl/>
        <w:spacing w:before="176" w:line="360" w:lineRule="auto"/>
        <w:ind w:firstLine="2835" w:firstLineChars="1350"/>
        <w:jc w:val="left"/>
        <w:rPr>
          <w:rFonts w:ascii="黑体" w:eastAsia="黑体" w:hAnsi="黑体"/>
          <w:b/>
          <w:bCs/>
          <w:color w:val="auto"/>
          <w:kern w:val="24"/>
          <w:sz w:val="24"/>
          <w:szCs w:val="24"/>
          <w:highlight w:val="none"/>
        </w:rPr>
      </w:pPr>
    </w:p>
    <w:p>
      <w:pPr>
        <w:widowControl/>
        <w:spacing w:before="176" w:line="360" w:lineRule="auto"/>
        <w:ind w:firstLine="2835" w:firstLineChars="1350"/>
        <w:jc w:val="left"/>
      </w:pPr>
    </w:p>
    <w:p>
      <w:pPr>
        <w:widowControl/>
        <w:spacing w:before="176" w:line="360" w:lineRule="auto"/>
        <w:ind w:firstLine="2835" w:firstLineChars="1350"/>
        <w:jc w:val="left"/>
        <w:rPr>
          <w:rFonts w:ascii="黑体" w:eastAsia="黑体" w:hAnsi="黑体"/>
          <w:b/>
          <w:bCs/>
          <w:color w:val="auto"/>
          <w:kern w:val="24"/>
          <w:sz w:val="24"/>
          <w:szCs w:val="24"/>
          <w:highlight w:val="none"/>
        </w:rPr>
      </w:pPr>
    </w:p>
    <w:p>
      <w:pPr>
        <w:widowControl/>
        <w:spacing w:before="176" w:line="360" w:lineRule="auto"/>
        <w:ind w:firstLine="2835" w:firstLineChars="1350"/>
        <w:jc w:val="left"/>
        <w:rPr>
          <w:rFonts w:ascii="黑体" w:eastAsia="黑体" w:hAnsi="黑体"/>
          <w:b/>
          <w:bCs/>
          <w:color w:val="auto"/>
          <w:kern w:val="24"/>
          <w:sz w:val="24"/>
          <w:szCs w:val="24"/>
          <w:highlight w:val="none"/>
        </w:rPr>
      </w:pPr>
    </w:p>
    <w:p>
      <w:pPr>
        <w:widowControl/>
        <w:spacing w:before="176" w:line="360" w:lineRule="auto"/>
        <w:ind w:firstLine="2835" w:firstLineChars="1350"/>
        <w:jc w:val="left"/>
        <w:rPr>
          <w:rFonts w:ascii="黑体" w:eastAsia="黑体" w:hAnsi="黑体"/>
          <w:b/>
          <w:bCs/>
          <w:color w:val="auto"/>
          <w:kern w:val="24"/>
          <w:sz w:val="24"/>
          <w:szCs w:val="24"/>
          <w:highlight w:val="none"/>
        </w:rPr>
      </w:pPr>
    </w:p>
    <w:p>
      <w:pPr>
        <w:widowControl/>
        <w:spacing w:before="176" w:line="360" w:lineRule="auto"/>
        <w:ind w:firstLine="2835" w:firstLineChars="1350"/>
        <w:jc w:val="left"/>
        <w:rPr>
          <w:rFonts w:ascii="黑体" w:eastAsia="黑体" w:hAnsi="黑体"/>
          <w:b/>
          <w:bCs/>
          <w:color w:val="auto"/>
          <w:kern w:val="24"/>
          <w:sz w:val="24"/>
          <w:szCs w:val="24"/>
          <w:highlight w:val="none"/>
        </w:rPr>
      </w:pPr>
    </w:p>
    <w:p>
      <w:pPr>
        <w:widowControl/>
        <w:spacing w:before="176" w:line="360" w:lineRule="auto"/>
        <w:ind w:firstLine="2835" w:firstLineChars="1350"/>
        <w:jc w:val="left"/>
        <w:rPr>
          <w:rFonts w:ascii="黑体" w:eastAsia="黑体" w:hAnsi="黑体"/>
          <w:b/>
          <w:bCs/>
          <w:color w:val="auto"/>
          <w:kern w:val="24"/>
          <w:sz w:val="24"/>
          <w:szCs w:val="24"/>
          <w:highlight w:val="none"/>
        </w:rPr>
      </w:pPr>
    </w:p>
    <w:p>
      <w:pPr>
        <w:widowControl/>
        <w:spacing w:before="176" w:line="360" w:lineRule="auto"/>
        <w:ind w:firstLine="2835" w:firstLineChars="1350"/>
        <w:jc w:val="left"/>
        <w:rPr>
          <w:rFonts w:ascii="黑体" w:eastAsia="黑体" w:hAnsi="黑体"/>
          <w:b/>
          <w:bCs/>
          <w:color w:val="auto"/>
          <w:kern w:val="24"/>
          <w:sz w:val="24"/>
          <w:szCs w:val="24"/>
          <w:highlight w:val="none"/>
        </w:rPr>
      </w:pPr>
    </w:p>
    <w:p>
      <w:pPr>
        <w:widowControl/>
        <w:spacing w:before="176" w:line="360" w:lineRule="auto"/>
        <w:ind w:firstLine="2835" w:firstLineChars="1350"/>
        <w:jc w:val="left"/>
        <w:rPr>
          <w:rFonts w:ascii="黑体" w:eastAsia="黑体" w:hAnsi="黑体"/>
          <w:b/>
          <w:bCs/>
          <w:color w:val="auto"/>
          <w:kern w:val="24"/>
          <w:sz w:val="24"/>
          <w:szCs w:val="24"/>
          <w:highlight w:val="none"/>
        </w:rPr>
      </w:pPr>
    </w:p>
    <w:p>
      <w:pPr>
        <w:widowControl/>
        <w:spacing w:line="360" w:lineRule="auto"/>
        <w:jc w:val="left"/>
        <w:rPr>
          <w:rFonts w:ascii="黑体" w:eastAsia="黑体" w:hAnsi="黑体"/>
          <w:b/>
          <w:bCs/>
          <w:color w:val="auto"/>
          <w:kern w:val="24"/>
          <w:sz w:val="24"/>
          <w:szCs w:val="24"/>
          <w:highlight w:val="none"/>
        </w:rPr>
      </w:pPr>
    </w:p>
    <w:p>
      <w:pPr>
        <w:widowControl/>
        <w:spacing w:line="360" w:lineRule="auto"/>
        <w:jc w:val="left"/>
        <w:rPr>
          <w:rFonts w:ascii="黑体" w:eastAsia="黑体" w:hAnsi="黑体"/>
          <w:bCs/>
          <w:color w:val="auto"/>
          <w:kern w:val="24"/>
          <w:sz w:val="24"/>
          <w:szCs w:val="24"/>
          <w:highlight w:val="none"/>
        </w:rPr>
      </w:pPr>
      <w:r>
        <w:rPr>
          <w:rFonts w:ascii="黑体" w:eastAsia="黑体" w:hAnsi="黑体" w:hint="eastAsia"/>
          <w:b/>
          <w:bCs/>
          <w:color w:val="auto"/>
          <w:kern w:val="24"/>
          <w:sz w:val="24"/>
          <w:szCs w:val="24"/>
          <w:highlight w:val="none"/>
        </w:rPr>
        <w:t xml:space="preserve">校 </w:t>
      </w:r>
      <w:r>
        <w:rPr>
          <w:rFonts w:ascii="黑体" w:eastAsia="黑体" w:hAnsi="黑体"/>
          <w:b/>
          <w:bCs/>
          <w:color w:val="auto"/>
          <w:kern w:val="24"/>
          <w:sz w:val="24"/>
          <w:szCs w:val="24"/>
          <w:highlight w:val="none"/>
        </w:rPr>
        <w:t xml:space="preserve"> </w:t>
      </w:r>
      <w:r>
        <w:rPr>
          <w:rFonts w:ascii="黑体" w:eastAsia="黑体" w:hAnsi="黑体" w:hint="eastAsia"/>
          <w:b/>
          <w:bCs/>
          <w:color w:val="auto"/>
          <w:kern w:val="24"/>
          <w:sz w:val="24"/>
          <w:szCs w:val="24"/>
          <w:highlight w:val="none"/>
        </w:rPr>
        <w:t>核：</w:t>
      </w:r>
      <w:r>
        <w:rPr>
          <w:rFonts w:ascii="黑体" w:eastAsia="黑体" w:hAnsi="黑体" w:hint="eastAsia"/>
          <w:bCs/>
          <w:color w:val="auto"/>
          <w:kern w:val="24"/>
          <w:sz w:val="24"/>
          <w:szCs w:val="24"/>
          <w:highlight w:val="none"/>
        </w:rPr>
        <w:t>梁思斯</w:t>
      </w:r>
      <w:r>
        <w:rPr>
          <w:rFonts w:ascii="黑体" w:eastAsia="黑体" w:hAnsi="黑体"/>
          <w:bCs/>
          <w:color w:val="auto"/>
          <w:kern w:val="24"/>
          <w:sz w:val="24"/>
          <w:szCs w:val="24"/>
          <w:highlight w:val="none"/>
        </w:rPr>
        <w:t>____________</w:t>
      </w:r>
      <w:r>
        <w:rPr>
          <w:rFonts w:ascii="黑体" w:eastAsia="黑体" w:hAnsi="黑体" w:hint="eastAsia"/>
          <w:bCs/>
          <w:color w:val="auto"/>
          <w:kern w:val="24"/>
          <w:sz w:val="24"/>
          <w:szCs w:val="24"/>
          <w:highlight w:val="none"/>
          <w:lang w:eastAsia="zh-CN"/>
        </w:rPr>
        <w:t>（</w:t>
      </w:r>
      <w:r>
        <w:rPr>
          <w:rFonts w:ascii="黑体" w:eastAsia="黑体" w:hAnsi="黑体" w:hint="eastAsia"/>
          <w:bCs/>
          <w:color w:val="auto"/>
          <w:kern w:val="24"/>
          <w:sz w:val="24"/>
          <w:szCs w:val="24"/>
          <w:highlight w:val="none"/>
        </w:rPr>
        <w:t>高级工程师）</w:t>
      </w:r>
      <w:bookmarkEnd w:id="0"/>
    </w:p>
    <w:p>
      <w:pPr>
        <w:widowControl/>
        <w:spacing w:line="360" w:lineRule="auto"/>
        <w:jc w:val="left"/>
        <w:rPr>
          <w:rFonts w:ascii="黑体" w:eastAsia="黑体" w:hAnsi="黑体"/>
          <w:b/>
          <w:bCs/>
          <w:color w:val="auto"/>
          <w:kern w:val="24"/>
          <w:sz w:val="24"/>
          <w:szCs w:val="24"/>
          <w:highlight w:val="none"/>
        </w:rPr>
      </w:pPr>
      <w:r>
        <w:rPr>
          <w:rFonts w:ascii="黑体" w:eastAsia="黑体" w:hAnsi="黑体" w:hint="eastAsia"/>
          <w:b/>
          <w:bCs/>
          <w:color w:val="auto"/>
          <w:kern w:val="24"/>
          <w:sz w:val="24"/>
          <w:szCs w:val="24"/>
          <w:highlight w:val="none"/>
        </w:rPr>
        <w:t xml:space="preserve">审 </w:t>
      </w:r>
      <w:r>
        <w:rPr>
          <w:rFonts w:ascii="黑体" w:eastAsia="黑体" w:hAnsi="黑体"/>
          <w:b/>
          <w:bCs/>
          <w:color w:val="auto"/>
          <w:kern w:val="24"/>
          <w:sz w:val="24"/>
          <w:szCs w:val="24"/>
          <w:highlight w:val="none"/>
        </w:rPr>
        <w:t xml:space="preserve"> </w:t>
      </w:r>
      <w:r>
        <w:rPr>
          <w:rFonts w:ascii="黑体" w:eastAsia="黑体" w:hAnsi="黑体" w:hint="eastAsia"/>
          <w:b/>
          <w:bCs/>
          <w:color w:val="auto"/>
          <w:kern w:val="24"/>
          <w:sz w:val="24"/>
          <w:szCs w:val="24"/>
          <w:highlight w:val="none"/>
        </w:rPr>
        <w:t>核：</w:t>
      </w:r>
      <w:r>
        <w:rPr>
          <w:rFonts w:ascii="黑体" w:eastAsia="黑体" w:hAnsi="黑体" w:hint="eastAsia"/>
          <w:bCs/>
          <w:color w:val="auto"/>
          <w:kern w:val="24"/>
          <w:sz w:val="24"/>
          <w:szCs w:val="24"/>
          <w:highlight w:val="none"/>
        </w:rPr>
        <w:t>张晓婷</w:t>
      </w:r>
      <w:r>
        <w:rPr>
          <w:rFonts w:ascii="黑体" w:eastAsia="黑体" w:hAnsi="黑体"/>
          <w:bCs/>
          <w:color w:val="auto"/>
          <w:kern w:val="24"/>
          <w:sz w:val="24"/>
          <w:szCs w:val="24"/>
          <w:highlight w:val="none"/>
        </w:rPr>
        <w:t>____________</w:t>
      </w:r>
      <w:r>
        <w:rPr>
          <w:rFonts w:ascii="黑体" w:eastAsia="黑体" w:hAnsi="黑体" w:hint="eastAsia"/>
          <w:bCs/>
          <w:color w:val="auto"/>
          <w:kern w:val="24"/>
          <w:sz w:val="24"/>
          <w:szCs w:val="24"/>
          <w:highlight w:val="none"/>
        </w:rPr>
        <w:t>（高级工程师）</w:t>
      </w:r>
    </w:p>
    <w:p>
      <w:pPr>
        <w:pStyle w:val="BodyText"/>
        <w:rPr>
          <w:rFonts w:ascii="黑体"/>
          <w:color w:val="auto"/>
          <w:sz w:val="32"/>
          <w:highlight w:val="none"/>
          <w:lang w:val="en-US"/>
        </w:rPr>
      </w:pPr>
    </w:p>
    <w:p>
      <w:pPr>
        <w:pStyle w:val="BodyText"/>
        <w:rPr>
          <w:rFonts w:ascii="黑体"/>
          <w:color w:val="auto"/>
          <w:sz w:val="32"/>
          <w:highlight w:val="none"/>
          <w:lang w:val="en-US"/>
        </w:rPr>
      </w:pPr>
    </w:p>
    <w:p>
      <w:pPr>
        <w:pStyle w:val="BodyText"/>
        <w:rPr>
          <w:rFonts w:ascii="黑体" w:eastAsia="黑体" w:hAnsi="黑体"/>
          <w:color w:val="auto"/>
          <w:sz w:val="32"/>
          <w:highlight w:val="none"/>
        </w:rPr>
      </w:pPr>
    </w:p>
    <w:p>
      <w:pPr>
        <w:pStyle w:val="BodyText"/>
        <w:rPr>
          <w:rFonts w:ascii="黑体" w:eastAsia="黑体" w:hAnsi="黑体"/>
          <w:color w:val="auto"/>
          <w:sz w:val="32"/>
          <w:highlight w:val="none"/>
        </w:rPr>
      </w:pPr>
    </w:p>
    <w:p>
      <w:pPr>
        <w:spacing w:line="480" w:lineRule="auto"/>
        <w:jc w:val="center"/>
        <w:rPr>
          <w:rFonts w:ascii="黑体" w:eastAsia="黑体"/>
          <w:color w:val="auto"/>
          <w:sz w:val="52"/>
          <w:szCs w:val="52"/>
          <w:highlight w:val="none"/>
        </w:rPr>
        <w:sectPr>
          <w:pgSz w:w="23814" w:h="16839" w:orient="landscape"/>
          <w:pgMar w:top="1080" w:right="1440" w:bottom="1080" w:left="1440" w:header="852" w:footer="1004" w:gutter="0"/>
          <w:cols w:num="2" w:space="720"/>
          <w:docGrid w:linePitch="286" w:charSpace="0"/>
        </w:sectPr>
      </w:pPr>
    </w:p>
    <w:sdt>
      <w:sdtPr>
        <w:rPr>
          <w:rFonts w:ascii="Times New Roman" w:eastAsia="宋体" w:hAnsi="Times New Roman" w:cstheme="minorBidi"/>
          <w:b w:val="0"/>
          <w:bCs w:val="0"/>
          <w:color w:val="auto"/>
          <w:kern w:val="2"/>
          <w:sz w:val="21"/>
          <w:szCs w:val="22"/>
          <w:highlight w:val="none"/>
          <w:lang w:val="zh-CN"/>
        </w:rPr>
        <w:id w:val="1582942060"/>
        <w:docPartObj>
          <w:docPartGallery w:val="Table of Contents"/>
          <w:docPartUnique/>
        </w:docPartObj>
      </w:sdtPr>
      <w:sdtEndPr>
        <w:rPr>
          <w:rFonts w:ascii="Times New Roman" w:eastAsia="宋体" w:hAnsi="Times New Roman" w:cstheme="minorBidi"/>
          <w:b w:val="0"/>
          <w:bCs w:val="0"/>
          <w:color w:val="auto"/>
          <w:kern w:val="2"/>
          <w:sz w:val="21"/>
          <w:szCs w:val="22"/>
          <w:highlight w:val="none"/>
          <w:lang w:val="zh-CN"/>
        </w:rPr>
      </w:sdtEndPr>
      <w:sdtContent>
        <w:p>
          <w:pPr>
            <w:pStyle w:val="TOC10"/>
            <w:spacing w:line="240" w:lineRule="auto"/>
            <w:ind w:firstLine="420"/>
            <w:jc w:val="center"/>
            <w:rPr>
              <w:rFonts w:ascii="Times New Roman" w:eastAsia="宋体" w:hAnsi="Times New Roman"/>
              <w:color w:val="auto"/>
              <w:sz w:val="24"/>
              <w:szCs w:val="24"/>
              <w:highlight w:val="none"/>
            </w:rPr>
          </w:pPr>
          <w:bookmarkStart w:id="1" w:name="_GoBack"/>
          <w:bookmarkEnd w:id="1"/>
          <w:r>
            <w:rPr>
              <w:rFonts w:ascii="Times New Roman" w:eastAsia="宋体" w:hAnsi="Times New Roman"/>
              <w:color w:val="auto"/>
              <w:sz w:val="24"/>
              <w:szCs w:val="24"/>
              <w:highlight w:val="none"/>
              <w:lang w:val="zh-CN"/>
            </w:rPr>
            <w:t>目</w:t>
          </w:r>
          <w:r>
            <w:rPr>
              <w:rFonts w:ascii="Times New Roman" w:eastAsia="宋体" w:hAnsi="Times New Roman" w:hint="eastAsia"/>
              <w:color w:val="auto"/>
              <w:sz w:val="24"/>
              <w:szCs w:val="24"/>
              <w:highlight w:val="none"/>
              <w:lang w:val="en-US" w:eastAsia="zh-CN"/>
            </w:rPr>
            <w:t xml:space="preserve">  </w:t>
          </w:r>
          <w:r>
            <w:rPr>
              <w:rFonts w:ascii="Times New Roman" w:eastAsia="宋体" w:hAnsi="Times New Roman"/>
              <w:color w:val="auto"/>
              <w:sz w:val="24"/>
              <w:szCs w:val="24"/>
              <w:highlight w:val="none"/>
              <w:lang w:val="zh-CN"/>
            </w:rPr>
            <w:t>录</w:t>
          </w:r>
        </w:p>
        <w:p>
          <w:pPr>
            <w:pStyle w:val="TOC2"/>
            <w:tabs>
              <w:tab w:val="right" w:leader="dot" w:pos="10254"/>
            </w:tabs>
            <w:rPr>
              <w:sz w:val="24"/>
              <w:szCs w:val="24"/>
            </w:rPr>
          </w:pPr>
          <w:r>
            <w:rPr>
              <w:rFonts w:ascii="Times New Roman" w:hAnsi="Times New Roman"/>
              <w:smallCaps w:val="0"/>
              <w:color w:val="auto"/>
              <w:sz w:val="24"/>
              <w:szCs w:val="24"/>
              <w:highlight w:val="none"/>
            </w:rPr>
            <w:fldChar w:fldCharType="begin"/>
          </w:r>
          <w:r>
            <w:rPr>
              <w:rFonts w:ascii="Times New Roman" w:hAnsi="Times New Roman"/>
              <w:smallCaps w:val="0"/>
              <w:color w:val="auto"/>
              <w:sz w:val="24"/>
              <w:szCs w:val="24"/>
              <w:highlight w:val="none"/>
            </w:rPr>
            <w:instrText xml:space="preserve"> TOC \o "1-3" \h \z \u </w:instrText>
          </w:r>
          <w:r>
            <w:rPr>
              <w:rFonts w:ascii="Times New Roman" w:hAnsi="Times New Roman"/>
              <w:smallCaps w:val="0"/>
              <w:color w:val="auto"/>
              <w:sz w:val="24"/>
              <w:szCs w:val="24"/>
              <w:highlight w:val="none"/>
            </w:rPr>
            <w:fldChar w:fldCharType="separate"/>
          </w:r>
          <w:r>
            <w:rPr>
              <w:rFonts w:ascii="Times New Roman" w:hAnsi="Times New Roman"/>
              <w:smallCaps w:val="0"/>
              <w:color w:val="auto"/>
              <w:sz w:val="24"/>
              <w:szCs w:val="24"/>
              <w:highlight w:val="none"/>
            </w:rPr>
            <w:fldChar w:fldCharType="begin"/>
          </w:r>
          <w:r>
            <w:rPr>
              <w:rFonts w:ascii="Times New Roman" w:hAnsi="Times New Roman"/>
              <w:smallCaps w:val="0"/>
              <w:sz w:val="24"/>
              <w:szCs w:val="24"/>
              <w:highlight w:val="none"/>
            </w:rPr>
            <w:instrText xml:space="preserve"> HYPERLINK \l _Toc7294 </w:instrText>
          </w:r>
          <w:r>
            <w:rPr>
              <w:rFonts w:ascii="Times New Roman" w:hAnsi="Times New Roman"/>
              <w:smallCaps w:val="0"/>
              <w:sz w:val="24"/>
              <w:szCs w:val="24"/>
              <w:highlight w:val="none"/>
            </w:rPr>
            <w:fldChar w:fldCharType="separate"/>
          </w:r>
          <w:r>
            <w:rPr>
              <w:rFonts w:ascii="Times New Roman" w:eastAsia="宋体" w:hAnsi="Times New Roman" w:hint="eastAsia"/>
              <w:sz w:val="24"/>
              <w:szCs w:val="24"/>
              <w:highlight w:val="none"/>
            </w:rPr>
            <w:t>第一章 规划概述</w:t>
          </w:r>
          <w:r>
            <w:rPr>
              <w:sz w:val="24"/>
              <w:szCs w:val="24"/>
            </w:rPr>
            <w:tab/>
          </w:r>
          <w:r>
            <w:rPr>
              <w:sz w:val="24"/>
              <w:szCs w:val="24"/>
            </w:rPr>
            <w:fldChar w:fldCharType="begin"/>
          </w:r>
          <w:r>
            <w:rPr>
              <w:sz w:val="24"/>
              <w:szCs w:val="24"/>
            </w:rPr>
            <w:instrText xml:space="preserve"> PAGEREF _Toc7294 \h </w:instrText>
          </w:r>
          <w:r>
            <w:rPr>
              <w:sz w:val="24"/>
              <w:szCs w:val="24"/>
            </w:rPr>
            <w:fldChar w:fldCharType="separate"/>
          </w:r>
          <w:r>
            <w:rPr>
              <w:sz w:val="24"/>
              <w:szCs w:val="24"/>
            </w:rPr>
            <w:t>2</w:t>
          </w:r>
          <w:r>
            <w:rPr>
              <w:sz w:val="24"/>
              <w:szCs w:val="24"/>
            </w:rPr>
            <w:fldChar w:fldCharType="end"/>
          </w:r>
          <w:r>
            <w:rPr>
              <w:rFonts w:ascii="Times New Roman" w:hAnsi="Times New Roman"/>
              <w:smallCaps w:val="0"/>
              <w:color w:val="auto"/>
              <w:sz w:val="24"/>
              <w:szCs w:val="24"/>
              <w:highlight w:val="none"/>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_Toc23708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一、规划背景</w:t>
          </w:r>
          <w:r>
            <w:rPr>
              <w:sz w:val="24"/>
              <w:szCs w:val="24"/>
            </w:rPr>
            <w:tab/>
          </w:r>
          <w:r>
            <w:rPr>
              <w:sz w:val="24"/>
              <w:szCs w:val="24"/>
            </w:rPr>
            <w:fldChar w:fldCharType="begin"/>
          </w:r>
          <w:r>
            <w:rPr>
              <w:sz w:val="24"/>
              <w:szCs w:val="24"/>
            </w:rPr>
            <w:instrText xml:space="preserve"> PAGEREF _Toc23708 \h </w:instrText>
          </w:r>
          <w:r>
            <w:rPr>
              <w:sz w:val="24"/>
              <w:szCs w:val="24"/>
            </w:rPr>
            <w:fldChar w:fldCharType="separate"/>
          </w:r>
          <w:r>
            <w:rPr>
              <w:sz w:val="24"/>
              <w:szCs w:val="24"/>
            </w:rPr>
            <w:t>2</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_Toc23104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二、规划范围与</w:t>
          </w:r>
          <w:r>
            <w:rPr>
              <w:rFonts w:ascii="Times New Roman" w:eastAsia="宋体" w:hAnsi="Times New Roman" w:cstheme="majorEastAsia"/>
              <w:sz w:val="24"/>
              <w:szCs w:val="24"/>
              <w:highlight w:val="none"/>
            </w:rPr>
            <w:t>年限</w:t>
          </w:r>
          <w:r>
            <w:rPr>
              <w:sz w:val="24"/>
              <w:szCs w:val="24"/>
            </w:rPr>
            <w:tab/>
          </w:r>
          <w:r>
            <w:rPr>
              <w:sz w:val="24"/>
              <w:szCs w:val="24"/>
            </w:rPr>
            <w:fldChar w:fldCharType="begin"/>
          </w:r>
          <w:r>
            <w:rPr>
              <w:sz w:val="24"/>
              <w:szCs w:val="24"/>
            </w:rPr>
            <w:instrText xml:space="preserve"> PAGEREF _Toc23104 \h </w:instrText>
          </w:r>
          <w:r>
            <w:rPr>
              <w:sz w:val="24"/>
              <w:szCs w:val="24"/>
            </w:rPr>
            <w:fldChar w:fldCharType="separate"/>
          </w:r>
          <w:r>
            <w:rPr>
              <w:sz w:val="24"/>
              <w:szCs w:val="24"/>
            </w:rPr>
            <w:t>2</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_Toc13384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三、规划依据</w:t>
          </w:r>
          <w:r>
            <w:rPr>
              <w:sz w:val="24"/>
              <w:szCs w:val="24"/>
            </w:rPr>
            <w:tab/>
          </w:r>
          <w:r>
            <w:rPr>
              <w:sz w:val="24"/>
              <w:szCs w:val="24"/>
            </w:rPr>
            <w:fldChar w:fldCharType="begin"/>
          </w:r>
          <w:r>
            <w:rPr>
              <w:sz w:val="24"/>
              <w:szCs w:val="24"/>
            </w:rPr>
            <w:instrText xml:space="preserve"> PAGEREF _Toc13384 \h </w:instrText>
          </w:r>
          <w:r>
            <w:rPr>
              <w:sz w:val="24"/>
              <w:szCs w:val="24"/>
            </w:rPr>
            <w:fldChar w:fldCharType="separate"/>
          </w:r>
          <w:r>
            <w:rPr>
              <w:sz w:val="24"/>
              <w:szCs w:val="24"/>
            </w:rPr>
            <w:t>3</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_Toc18051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四、规划目标</w:t>
          </w:r>
          <w:r>
            <w:rPr>
              <w:sz w:val="24"/>
              <w:szCs w:val="24"/>
            </w:rPr>
            <w:tab/>
          </w:r>
          <w:r>
            <w:rPr>
              <w:sz w:val="24"/>
              <w:szCs w:val="24"/>
            </w:rPr>
            <w:fldChar w:fldCharType="begin"/>
          </w:r>
          <w:r>
            <w:rPr>
              <w:sz w:val="24"/>
              <w:szCs w:val="24"/>
            </w:rPr>
            <w:instrText xml:space="preserve"> PAGEREF _Toc18051 \h </w:instrText>
          </w:r>
          <w:r>
            <w:rPr>
              <w:sz w:val="24"/>
              <w:szCs w:val="24"/>
            </w:rPr>
            <w:fldChar w:fldCharType="separate"/>
          </w:r>
          <w:r>
            <w:rPr>
              <w:sz w:val="24"/>
              <w:szCs w:val="24"/>
            </w:rPr>
            <w:t>4</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_Toc9035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五、规划原则与</w:t>
          </w:r>
          <w:r>
            <w:rPr>
              <w:rFonts w:ascii="Times New Roman" w:eastAsia="宋体" w:hAnsi="Times New Roman" w:cstheme="majorEastAsia"/>
              <w:sz w:val="24"/>
              <w:szCs w:val="24"/>
              <w:highlight w:val="none"/>
            </w:rPr>
            <w:t>思路</w:t>
          </w:r>
          <w:r>
            <w:rPr>
              <w:sz w:val="24"/>
              <w:szCs w:val="24"/>
            </w:rPr>
            <w:tab/>
          </w:r>
          <w:r>
            <w:rPr>
              <w:sz w:val="24"/>
              <w:szCs w:val="24"/>
            </w:rPr>
            <w:fldChar w:fldCharType="begin"/>
          </w:r>
          <w:r>
            <w:rPr>
              <w:sz w:val="24"/>
              <w:szCs w:val="24"/>
            </w:rPr>
            <w:instrText xml:space="preserve"> PAGEREF _Toc9035 \h </w:instrText>
          </w:r>
          <w:r>
            <w:rPr>
              <w:sz w:val="24"/>
              <w:szCs w:val="24"/>
            </w:rPr>
            <w:fldChar w:fldCharType="separate"/>
          </w:r>
          <w:r>
            <w:rPr>
              <w:sz w:val="24"/>
              <w:szCs w:val="24"/>
            </w:rPr>
            <w:t>5</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_Toc13623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六、规划技术路线</w:t>
          </w:r>
          <w:r>
            <w:rPr>
              <w:sz w:val="24"/>
              <w:szCs w:val="24"/>
            </w:rPr>
            <w:tab/>
          </w:r>
          <w:r>
            <w:rPr>
              <w:sz w:val="24"/>
              <w:szCs w:val="24"/>
            </w:rPr>
            <w:fldChar w:fldCharType="begin"/>
          </w:r>
          <w:r>
            <w:rPr>
              <w:sz w:val="24"/>
              <w:szCs w:val="24"/>
            </w:rPr>
            <w:instrText xml:space="preserve"> PAGEREF _Toc13623 \h </w:instrText>
          </w:r>
          <w:r>
            <w:rPr>
              <w:sz w:val="24"/>
              <w:szCs w:val="24"/>
            </w:rPr>
            <w:fldChar w:fldCharType="separate"/>
          </w:r>
          <w:r>
            <w:rPr>
              <w:sz w:val="24"/>
              <w:szCs w:val="24"/>
            </w:rPr>
            <w:t>6</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2"/>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_Toc7828 </w:instrText>
          </w:r>
          <w:r>
            <w:rPr>
              <w:rFonts w:ascii="Times New Roman" w:eastAsia="宋体" w:hAnsi="Times New Roman"/>
              <w:bCs/>
              <w:sz w:val="24"/>
              <w:szCs w:val="24"/>
              <w:highlight w:val="none"/>
              <w:lang w:val="zh-CN"/>
            </w:rPr>
            <w:fldChar w:fldCharType="separate"/>
          </w:r>
          <w:r>
            <w:rPr>
              <w:rFonts w:ascii="Times New Roman" w:eastAsia="宋体" w:hAnsi="Times New Roman" w:hint="eastAsia"/>
              <w:sz w:val="24"/>
              <w:szCs w:val="24"/>
              <w:highlight w:val="none"/>
            </w:rPr>
            <w:t>第二章 相关规划</w:t>
          </w:r>
          <w:r>
            <w:rPr>
              <w:rFonts w:ascii="Times New Roman" w:eastAsia="宋体" w:hAnsi="Times New Roman"/>
              <w:sz w:val="24"/>
              <w:szCs w:val="24"/>
              <w:highlight w:val="none"/>
            </w:rPr>
            <w:t>解读</w:t>
          </w:r>
          <w:r>
            <w:rPr>
              <w:sz w:val="24"/>
              <w:szCs w:val="24"/>
            </w:rPr>
            <w:tab/>
          </w:r>
          <w:r>
            <w:rPr>
              <w:sz w:val="24"/>
              <w:szCs w:val="24"/>
            </w:rPr>
            <w:fldChar w:fldCharType="begin"/>
          </w:r>
          <w:r>
            <w:rPr>
              <w:sz w:val="24"/>
              <w:szCs w:val="24"/>
            </w:rPr>
            <w:instrText xml:space="preserve"> PAGEREF _Toc7828 \h </w:instrText>
          </w:r>
          <w:r>
            <w:rPr>
              <w:sz w:val="24"/>
              <w:szCs w:val="24"/>
            </w:rPr>
            <w:fldChar w:fldCharType="separate"/>
          </w:r>
          <w:r>
            <w:rPr>
              <w:sz w:val="24"/>
              <w:szCs w:val="24"/>
            </w:rPr>
            <w:t>7</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_Toc32077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一、玉林市国土空间</w:t>
          </w:r>
          <w:r>
            <w:rPr>
              <w:rFonts w:ascii="Times New Roman" w:eastAsia="宋体" w:hAnsi="Times New Roman" w:cstheme="majorEastAsia"/>
              <w:sz w:val="24"/>
              <w:szCs w:val="24"/>
              <w:highlight w:val="none"/>
            </w:rPr>
            <w:t>规划</w:t>
          </w:r>
          <w:r>
            <w:rPr>
              <w:sz w:val="24"/>
              <w:szCs w:val="24"/>
            </w:rPr>
            <w:tab/>
          </w:r>
          <w:r>
            <w:rPr>
              <w:sz w:val="24"/>
              <w:szCs w:val="24"/>
            </w:rPr>
            <w:fldChar w:fldCharType="begin"/>
          </w:r>
          <w:r>
            <w:rPr>
              <w:sz w:val="24"/>
              <w:szCs w:val="24"/>
            </w:rPr>
            <w:instrText xml:space="preserve"> PAGEREF _Toc32077 \h </w:instrText>
          </w:r>
          <w:r>
            <w:rPr>
              <w:sz w:val="24"/>
              <w:szCs w:val="24"/>
            </w:rPr>
            <w:fldChar w:fldCharType="separate"/>
          </w:r>
          <w:r>
            <w:rPr>
              <w:sz w:val="24"/>
              <w:szCs w:val="24"/>
            </w:rPr>
            <w:t>7</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_Toc26661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二</w:t>
          </w:r>
          <w:r>
            <w:rPr>
              <w:rFonts w:ascii="Times New Roman" w:eastAsia="宋体" w:hAnsi="Times New Roman" w:cstheme="majorEastAsia"/>
              <w:sz w:val="24"/>
              <w:szCs w:val="24"/>
              <w:highlight w:val="none"/>
            </w:rPr>
            <w:t>、</w:t>
          </w:r>
          <w:r>
            <w:rPr>
              <w:rFonts w:ascii="Times New Roman" w:eastAsia="宋体" w:hAnsi="Times New Roman" w:cstheme="majorEastAsia" w:hint="eastAsia"/>
              <w:sz w:val="24"/>
              <w:szCs w:val="24"/>
              <w:highlight w:val="none"/>
            </w:rPr>
            <w:t>通讯工程规划</w:t>
          </w:r>
          <w:r>
            <w:rPr>
              <w:sz w:val="24"/>
              <w:szCs w:val="24"/>
            </w:rPr>
            <w:tab/>
          </w:r>
          <w:r>
            <w:rPr>
              <w:sz w:val="24"/>
              <w:szCs w:val="24"/>
            </w:rPr>
            <w:fldChar w:fldCharType="begin"/>
          </w:r>
          <w:r>
            <w:rPr>
              <w:sz w:val="24"/>
              <w:szCs w:val="24"/>
            </w:rPr>
            <w:instrText xml:space="preserve"> PAGEREF _Toc26661 \h </w:instrText>
          </w:r>
          <w:r>
            <w:rPr>
              <w:sz w:val="24"/>
              <w:szCs w:val="24"/>
            </w:rPr>
            <w:fldChar w:fldCharType="separate"/>
          </w:r>
          <w:r>
            <w:rPr>
              <w:sz w:val="24"/>
              <w:szCs w:val="24"/>
            </w:rPr>
            <w:t>8</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2"/>
            <w:tabs>
              <w:tab w:val="right" w:pos="3200"/>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_Toc19523 </w:instrText>
          </w:r>
          <w:r>
            <w:rPr>
              <w:rFonts w:ascii="Times New Roman" w:eastAsia="宋体" w:hAnsi="Times New Roman"/>
              <w:bCs/>
              <w:sz w:val="24"/>
              <w:szCs w:val="24"/>
              <w:highlight w:val="none"/>
              <w:lang w:val="zh-CN"/>
            </w:rPr>
            <w:fldChar w:fldCharType="separate"/>
          </w:r>
          <w:r>
            <w:rPr>
              <w:rFonts w:ascii="Times New Roman" w:eastAsia="宋体" w:hAnsi="Times New Roman" w:hint="eastAsia"/>
              <w:sz w:val="24"/>
              <w:szCs w:val="24"/>
              <w:highlight w:val="none"/>
            </w:rPr>
            <w:t xml:space="preserve">第三章 </w:t>
          </w:r>
          <w:r>
            <w:rPr>
              <w:rFonts w:ascii="Times New Roman" w:eastAsia="宋体" w:hAnsi="Times New Roman" w:hint="eastAsia"/>
              <w:sz w:val="24"/>
              <w:szCs w:val="24"/>
              <w:highlight w:val="none"/>
            </w:rPr>
            <w:tab/>
          </w:r>
          <w:r>
            <w:rPr>
              <w:rFonts w:ascii="Times New Roman" w:eastAsia="宋体" w:hAnsi="Times New Roman" w:hint="eastAsia"/>
              <w:sz w:val="24"/>
              <w:szCs w:val="24"/>
              <w:highlight w:val="none"/>
            </w:rPr>
            <w:t>通</w:t>
          </w:r>
          <w:r>
            <w:rPr>
              <w:rFonts w:ascii="Times New Roman" w:eastAsia="宋体" w:hAnsi="Times New Roman" w:hint="eastAsia"/>
              <w:sz w:val="24"/>
              <w:szCs w:val="24"/>
              <w:highlight w:val="none"/>
              <w:lang w:val="en-US" w:eastAsia="zh-CN"/>
            </w:rPr>
            <w:t>信</w:t>
          </w:r>
          <w:r>
            <w:rPr>
              <w:rFonts w:ascii="Times New Roman" w:eastAsia="宋体" w:hAnsi="Times New Roman" w:hint="eastAsia"/>
              <w:sz w:val="24"/>
              <w:szCs w:val="24"/>
              <w:highlight w:val="none"/>
            </w:rPr>
            <w:t>基础设施现状</w:t>
          </w:r>
          <w:r>
            <w:rPr>
              <w:sz w:val="24"/>
              <w:szCs w:val="24"/>
            </w:rPr>
            <w:tab/>
          </w:r>
          <w:r>
            <w:rPr>
              <w:sz w:val="24"/>
              <w:szCs w:val="24"/>
            </w:rPr>
            <w:fldChar w:fldCharType="begin"/>
          </w:r>
          <w:r>
            <w:rPr>
              <w:sz w:val="24"/>
              <w:szCs w:val="24"/>
            </w:rPr>
            <w:instrText xml:space="preserve"> PAGEREF _Toc19523 \h </w:instrText>
          </w:r>
          <w:r>
            <w:rPr>
              <w:sz w:val="24"/>
              <w:szCs w:val="24"/>
            </w:rPr>
            <w:fldChar w:fldCharType="separate"/>
          </w:r>
          <w:r>
            <w:rPr>
              <w:sz w:val="24"/>
              <w:szCs w:val="24"/>
            </w:rPr>
            <w:t>10</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_Toc17634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一、通信网络信息化发展现状</w:t>
          </w:r>
          <w:r>
            <w:rPr>
              <w:sz w:val="24"/>
              <w:szCs w:val="24"/>
            </w:rPr>
            <w:tab/>
          </w:r>
          <w:r>
            <w:rPr>
              <w:sz w:val="24"/>
              <w:szCs w:val="24"/>
            </w:rPr>
            <w:fldChar w:fldCharType="begin"/>
          </w:r>
          <w:r>
            <w:rPr>
              <w:sz w:val="24"/>
              <w:szCs w:val="24"/>
            </w:rPr>
            <w:instrText xml:space="preserve"> PAGEREF _Toc17634 \h </w:instrText>
          </w:r>
          <w:r>
            <w:rPr>
              <w:sz w:val="24"/>
              <w:szCs w:val="24"/>
            </w:rPr>
            <w:fldChar w:fldCharType="separate"/>
          </w:r>
          <w:r>
            <w:rPr>
              <w:sz w:val="24"/>
              <w:szCs w:val="24"/>
            </w:rPr>
            <w:t>10</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_Toc29519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二、</w:t>
          </w:r>
          <w:r>
            <w:rPr>
              <w:rFonts w:ascii="Times New Roman" w:eastAsia="宋体" w:hAnsi="Times New Roman" w:hint="eastAsia"/>
              <w:sz w:val="24"/>
              <w:szCs w:val="24"/>
              <w:highlight w:val="none"/>
            </w:rPr>
            <w:t>通信基础设施现状概况</w:t>
          </w:r>
          <w:r>
            <w:rPr>
              <w:sz w:val="24"/>
              <w:szCs w:val="24"/>
            </w:rPr>
            <w:tab/>
          </w:r>
          <w:r>
            <w:rPr>
              <w:sz w:val="24"/>
              <w:szCs w:val="24"/>
            </w:rPr>
            <w:fldChar w:fldCharType="begin"/>
          </w:r>
          <w:r>
            <w:rPr>
              <w:sz w:val="24"/>
              <w:szCs w:val="24"/>
            </w:rPr>
            <w:instrText xml:space="preserve"> PAGEREF _Toc29519 \h </w:instrText>
          </w:r>
          <w:r>
            <w:rPr>
              <w:sz w:val="24"/>
              <w:szCs w:val="24"/>
            </w:rPr>
            <w:fldChar w:fldCharType="separate"/>
          </w:r>
          <w:r>
            <w:rPr>
              <w:sz w:val="24"/>
              <w:szCs w:val="24"/>
            </w:rPr>
            <w:t>10</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2"/>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_Toc18848 </w:instrText>
          </w:r>
          <w:r>
            <w:rPr>
              <w:rFonts w:ascii="Times New Roman" w:eastAsia="宋体" w:hAnsi="Times New Roman"/>
              <w:bCs/>
              <w:sz w:val="24"/>
              <w:szCs w:val="24"/>
              <w:highlight w:val="none"/>
              <w:lang w:val="zh-CN"/>
            </w:rPr>
            <w:fldChar w:fldCharType="separate"/>
          </w:r>
          <w:r>
            <w:rPr>
              <w:rFonts w:ascii="Times New Roman" w:eastAsia="宋体" w:hAnsi="Times New Roman" w:hint="eastAsia"/>
              <w:sz w:val="24"/>
              <w:szCs w:val="24"/>
              <w:highlight w:val="none"/>
            </w:rPr>
            <w:t>第四章 发展目标</w:t>
          </w:r>
          <w:r>
            <w:rPr>
              <w:rFonts w:ascii="Times New Roman" w:eastAsia="宋体" w:hAnsi="Times New Roman"/>
              <w:sz w:val="24"/>
              <w:szCs w:val="24"/>
              <w:highlight w:val="none"/>
            </w:rPr>
            <w:t>与需求</w:t>
          </w:r>
          <w:r>
            <w:rPr>
              <w:sz w:val="24"/>
              <w:szCs w:val="24"/>
            </w:rPr>
            <w:tab/>
          </w:r>
          <w:r>
            <w:rPr>
              <w:sz w:val="24"/>
              <w:szCs w:val="24"/>
            </w:rPr>
            <w:fldChar w:fldCharType="begin"/>
          </w:r>
          <w:r>
            <w:rPr>
              <w:sz w:val="24"/>
              <w:szCs w:val="24"/>
            </w:rPr>
            <w:instrText xml:space="preserve"> PAGEREF _Toc18848 \h </w:instrText>
          </w:r>
          <w:r>
            <w:rPr>
              <w:sz w:val="24"/>
              <w:szCs w:val="24"/>
            </w:rPr>
            <w:fldChar w:fldCharType="separate"/>
          </w:r>
          <w:r>
            <w:rPr>
              <w:sz w:val="24"/>
              <w:szCs w:val="24"/>
            </w:rPr>
            <w:t>11</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_Toc25233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一</w:t>
          </w:r>
          <w:r>
            <w:rPr>
              <w:rFonts w:ascii="Times New Roman" w:eastAsia="宋体" w:hAnsi="Times New Roman" w:cstheme="majorEastAsia"/>
              <w:sz w:val="24"/>
              <w:szCs w:val="24"/>
              <w:highlight w:val="none"/>
            </w:rPr>
            <w:t>、发展目标</w:t>
          </w:r>
          <w:r>
            <w:rPr>
              <w:sz w:val="24"/>
              <w:szCs w:val="24"/>
            </w:rPr>
            <w:tab/>
          </w:r>
          <w:r>
            <w:rPr>
              <w:sz w:val="24"/>
              <w:szCs w:val="24"/>
            </w:rPr>
            <w:fldChar w:fldCharType="begin"/>
          </w:r>
          <w:r>
            <w:rPr>
              <w:sz w:val="24"/>
              <w:szCs w:val="24"/>
            </w:rPr>
            <w:instrText xml:space="preserve"> PAGEREF _Toc25233 \h </w:instrText>
          </w:r>
          <w:r>
            <w:rPr>
              <w:sz w:val="24"/>
              <w:szCs w:val="24"/>
            </w:rPr>
            <w:fldChar w:fldCharType="separate"/>
          </w:r>
          <w:r>
            <w:rPr>
              <w:sz w:val="24"/>
              <w:szCs w:val="24"/>
            </w:rPr>
            <w:t>11</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_Toc16891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二、发展</w:t>
          </w:r>
          <w:r>
            <w:rPr>
              <w:rFonts w:ascii="Times New Roman" w:eastAsia="宋体" w:hAnsi="Times New Roman" w:cstheme="majorEastAsia"/>
              <w:sz w:val="24"/>
              <w:szCs w:val="24"/>
              <w:highlight w:val="none"/>
            </w:rPr>
            <w:t>需求</w:t>
          </w:r>
          <w:r>
            <w:rPr>
              <w:sz w:val="24"/>
              <w:szCs w:val="24"/>
            </w:rPr>
            <w:tab/>
          </w:r>
          <w:r>
            <w:rPr>
              <w:sz w:val="24"/>
              <w:szCs w:val="24"/>
            </w:rPr>
            <w:fldChar w:fldCharType="begin"/>
          </w:r>
          <w:r>
            <w:rPr>
              <w:sz w:val="24"/>
              <w:szCs w:val="24"/>
            </w:rPr>
            <w:instrText xml:space="preserve"> PAGEREF _Toc16891 \h </w:instrText>
          </w:r>
          <w:r>
            <w:rPr>
              <w:sz w:val="24"/>
              <w:szCs w:val="24"/>
            </w:rPr>
            <w:fldChar w:fldCharType="separate"/>
          </w:r>
          <w:r>
            <w:rPr>
              <w:sz w:val="24"/>
              <w:szCs w:val="24"/>
            </w:rPr>
            <w:t>11</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2"/>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_Toc27452 </w:instrText>
          </w:r>
          <w:r>
            <w:rPr>
              <w:rFonts w:ascii="Times New Roman" w:eastAsia="宋体" w:hAnsi="Times New Roman"/>
              <w:bCs/>
              <w:sz w:val="24"/>
              <w:szCs w:val="24"/>
              <w:highlight w:val="none"/>
              <w:lang w:val="zh-CN"/>
            </w:rPr>
            <w:fldChar w:fldCharType="separate"/>
          </w:r>
          <w:r>
            <w:rPr>
              <w:rFonts w:ascii="Times New Roman" w:eastAsia="宋体" w:hAnsi="Times New Roman" w:hint="eastAsia"/>
              <w:sz w:val="24"/>
              <w:szCs w:val="24"/>
              <w:highlight w:val="none"/>
            </w:rPr>
            <w:t>第五章 5G通信宏基站基础设施布局规划</w:t>
          </w:r>
          <w:r>
            <w:rPr>
              <w:sz w:val="24"/>
              <w:szCs w:val="24"/>
            </w:rPr>
            <w:tab/>
          </w:r>
          <w:r>
            <w:rPr>
              <w:sz w:val="24"/>
              <w:szCs w:val="24"/>
            </w:rPr>
            <w:fldChar w:fldCharType="begin"/>
          </w:r>
          <w:r>
            <w:rPr>
              <w:sz w:val="24"/>
              <w:szCs w:val="24"/>
            </w:rPr>
            <w:instrText xml:space="preserve"> PAGEREF _Toc27452 \h </w:instrText>
          </w:r>
          <w:r>
            <w:rPr>
              <w:sz w:val="24"/>
              <w:szCs w:val="24"/>
            </w:rPr>
            <w:fldChar w:fldCharType="separate"/>
          </w:r>
          <w:r>
            <w:rPr>
              <w:sz w:val="24"/>
              <w:szCs w:val="24"/>
            </w:rPr>
            <w:t>14</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_Toc1650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一、市域通信宏基站空间结构规划</w:t>
          </w:r>
          <w:r>
            <w:rPr>
              <w:sz w:val="24"/>
              <w:szCs w:val="24"/>
            </w:rPr>
            <w:tab/>
          </w:r>
          <w:r>
            <w:rPr>
              <w:sz w:val="24"/>
              <w:szCs w:val="24"/>
            </w:rPr>
            <w:fldChar w:fldCharType="begin"/>
          </w:r>
          <w:r>
            <w:rPr>
              <w:sz w:val="24"/>
              <w:szCs w:val="24"/>
            </w:rPr>
            <w:instrText xml:space="preserve"> PAGEREF _Toc1650 \h </w:instrText>
          </w:r>
          <w:r>
            <w:rPr>
              <w:sz w:val="24"/>
              <w:szCs w:val="24"/>
            </w:rPr>
            <w:fldChar w:fldCharType="separate"/>
          </w:r>
          <w:r>
            <w:rPr>
              <w:sz w:val="24"/>
              <w:szCs w:val="24"/>
            </w:rPr>
            <w:t>14</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_Toc26512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二、市域通信宏基站规划原则</w:t>
          </w:r>
          <w:r>
            <w:rPr>
              <w:sz w:val="24"/>
              <w:szCs w:val="24"/>
            </w:rPr>
            <w:tab/>
          </w:r>
          <w:r>
            <w:rPr>
              <w:sz w:val="24"/>
              <w:szCs w:val="24"/>
            </w:rPr>
            <w:fldChar w:fldCharType="begin"/>
          </w:r>
          <w:r>
            <w:rPr>
              <w:sz w:val="24"/>
              <w:szCs w:val="24"/>
            </w:rPr>
            <w:instrText xml:space="preserve"> PAGEREF _Toc26512 \h </w:instrText>
          </w:r>
          <w:r>
            <w:rPr>
              <w:sz w:val="24"/>
              <w:szCs w:val="24"/>
            </w:rPr>
            <w:fldChar w:fldCharType="separate"/>
          </w:r>
          <w:r>
            <w:rPr>
              <w:sz w:val="24"/>
              <w:szCs w:val="24"/>
            </w:rPr>
            <w:t>14</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_Toc1249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三、市域通信宏基站规划方案</w:t>
          </w:r>
          <w:r>
            <w:rPr>
              <w:sz w:val="24"/>
              <w:szCs w:val="24"/>
            </w:rPr>
            <w:tab/>
          </w:r>
          <w:r>
            <w:rPr>
              <w:sz w:val="24"/>
              <w:szCs w:val="24"/>
            </w:rPr>
            <w:fldChar w:fldCharType="begin"/>
          </w:r>
          <w:r>
            <w:rPr>
              <w:sz w:val="24"/>
              <w:szCs w:val="24"/>
            </w:rPr>
            <w:instrText xml:space="preserve"> PAGEREF _Toc1249 \h </w:instrText>
          </w:r>
          <w:r>
            <w:rPr>
              <w:sz w:val="24"/>
              <w:szCs w:val="24"/>
            </w:rPr>
            <w:fldChar w:fldCharType="separate"/>
          </w:r>
          <w:r>
            <w:rPr>
              <w:sz w:val="24"/>
              <w:szCs w:val="24"/>
            </w:rPr>
            <w:t>16</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_Toc8220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四、5G基站规划成果</w:t>
          </w:r>
          <w:r>
            <w:rPr>
              <w:sz w:val="24"/>
              <w:szCs w:val="24"/>
            </w:rPr>
            <w:tab/>
          </w:r>
          <w:r>
            <w:rPr>
              <w:sz w:val="24"/>
              <w:szCs w:val="24"/>
            </w:rPr>
            <w:fldChar w:fldCharType="begin"/>
          </w:r>
          <w:r>
            <w:rPr>
              <w:sz w:val="24"/>
              <w:szCs w:val="24"/>
            </w:rPr>
            <w:instrText xml:space="preserve"> PAGEREF _Toc8220 \h </w:instrText>
          </w:r>
          <w:r>
            <w:rPr>
              <w:sz w:val="24"/>
              <w:szCs w:val="24"/>
            </w:rPr>
            <w:fldChar w:fldCharType="separate"/>
          </w:r>
          <w:r>
            <w:rPr>
              <w:sz w:val="24"/>
              <w:szCs w:val="24"/>
            </w:rPr>
            <w:t>19</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_Toc5459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五、5G基站社会资源储备</w:t>
          </w:r>
          <w:r>
            <w:rPr>
              <w:sz w:val="24"/>
              <w:szCs w:val="24"/>
            </w:rPr>
            <w:tab/>
          </w:r>
          <w:r>
            <w:rPr>
              <w:sz w:val="24"/>
              <w:szCs w:val="24"/>
            </w:rPr>
            <w:fldChar w:fldCharType="begin"/>
          </w:r>
          <w:r>
            <w:rPr>
              <w:sz w:val="24"/>
              <w:szCs w:val="24"/>
            </w:rPr>
            <w:instrText xml:space="preserve"> PAGEREF _Toc5459 \h </w:instrText>
          </w:r>
          <w:r>
            <w:rPr>
              <w:sz w:val="24"/>
              <w:szCs w:val="24"/>
            </w:rPr>
            <w:fldChar w:fldCharType="separate"/>
          </w:r>
          <w:r>
            <w:rPr>
              <w:sz w:val="24"/>
              <w:szCs w:val="24"/>
            </w:rPr>
            <w:t>20</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2"/>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_Toc16294 </w:instrText>
          </w:r>
          <w:r>
            <w:rPr>
              <w:rFonts w:ascii="Times New Roman" w:eastAsia="宋体" w:hAnsi="Times New Roman"/>
              <w:bCs/>
              <w:sz w:val="24"/>
              <w:szCs w:val="24"/>
              <w:highlight w:val="none"/>
              <w:lang w:val="zh-CN"/>
            </w:rPr>
            <w:fldChar w:fldCharType="separate"/>
          </w:r>
          <w:r>
            <w:rPr>
              <w:rFonts w:ascii="Times New Roman" w:eastAsia="宋体" w:hAnsi="Times New Roman" w:hint="eastAsia"/>
              <w:sz w:val="24"/>
              <w:szCs w:val="24"/>
              <w:highlight w:val="none"/>
            </w:rPr>
            <w:t>第六章 5G通信室内分布基站基础设施规划</w:t>
          </w:r>
          <w:r>
            <w:rPr>
              <w:sz w:val="24"/>
              <w:szCs w:val="24"/>
            </w:rPr>
            <w:tab/>
          </w:r>
          <w:r>
            <w:rPr>
              <w:sz w:val="24"/>
              <w:szCs w:val="24"/>
            </w:rPr>
            <w:fldChar w:fldCharType="begin"/>
          </w:r>
          <w:r>
            <w:rPr>
              <w:sz w:val="24"/>
              <w:szCs w:val="24"/>
            </w:rPr>
            <w:instrText xml:space="preserve"> PAGEREF _Toc16294 \h </w:instrText>
          </w:r>
          <w:r>
            <w:rPr>
              <w:sz w:val="24"/>
              <w:szCs w:val="24"/>
            </w:rPr>
            <w:fldChar w:fldCharType="separate"/>
          </w:r>
          <w:r>
            <w:rPr>
              <w:sz w:val="24"/>
              <w:szCs w:val="24"/>
            </w:rPr>
            <w:t>21</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_Toc18102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一、5G通信室内分布基站规划原则</w:t>
          </w:r>
          <w:r>
            <w:rPr>
              <w:sz w:val="24"/>
              <w:szCs w:val="24"/>
            </w:rPr>
            <w:tab/>
          </w:r>
          <w:r>
            <w:rPr>
              <w:sz w:val="24"/>
              <w:szCs w:val="24"/>
            </w:rPr>
            <w:fldChar w:fldCharType="begin"/>
          </w:r>
          <w:r>
            <w:rPr>
              <w:sz w:val="24"/>
              <w:szCs w:val="24"/>
            </w:rPr>
            <w:instrText xml:space="preserve"> PAGEREF _Toc18102 \h </w:instrText>
          </w:r>
          <w:r>
            <w:rPr>
              <w:sz w:val="24"/>
              <w:szCs w:val="24"/>
            </w:rPr>
            <w:fldChar w:fldCharType="separate"/>
          </w:r>
          <w:r>
            <w:rPr>
              <w:sz w:val="24"/>
              <w:szCs w:val="24"/>
            </w:rPr>
            <w:t>21</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_Toc29600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二、5G室内分布基站分规划方案</w:t>
          </w:r>
          <w:r>
            <w:rPr>
              <w:sz w:val="24"/>
              <w:szCs w:val="24"/>
            </w:rPr>
            <w:tab/>
          </w:r>
          <w:r>
            <w:rPr>
              <w:sz w:val="24"/>
              <w:szCs w:val="24"/>
            </w:rPr>
            <w:fldChar w:fldCharType="begin"/>
          </w:r>
          <w:r>
            <w:rPr>
              <w:sz w:val="24"/>
              <w:szCs w:val="24"/>
            </w:rPr>
            <w:instrText xml:space="preserve"> PAGEREF _Toc29600 \h </w:instrText>
          </w:r>
          <w:r>
            <w:rPr>
              <w:sz w:val="24"/>
              <w:szCs w:val="24"/>
            </w:rPr>
            <w:fldChar w:fldCharType="separate"/>
          </w:r>
          <w:r>
            <w:rPr>
              <w:sz w:val="24"/>
              <w:szCs w:val="24"/>
            </w:rPr>
            <w:t>21</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2"/>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_Toc27140 </w:instrText>
          </w:r>
          <w:r>
            <w:rPr>
              <w:rFonts w:ascii="Times New Roman" w:eastAsia="宋体" w:hAnsi="Times New Roman"/>
              <w:bCs/>
              <w:sz w:val="24"/>
              <w:szCs w:val="24"/>
              <w:highlight w:val="none"/>
              <w:lang w:val="zh-CN"/>
            </w:rPr>
            <w:fldChar w:fldCharType="separate"/>
          </w:r>
          <w:r>
            <w:rPr>
              <w:rFonts w:ascii="Times New Roman" w:eastAsia="宋体" w:hAnsi="Times New Roman" w:hint="eastAsia"/>
              <w:sz w:val="24"/>
              <w:szCs w:val="24"/>
              <w:highlight w:val="none"/>
            </w:rPr>
            <w:t>第七章 重点机房基础设施规划</w:t>
          </w:r>
          <w:r>
            <w:rPr>
              <w:sz w:val="24"/>
              <w:szCs w:val="24"/>
            </w:rPr>
            <w:tab/>
          </w:r>
          <w:r>
            <w:rPr>
              <w:sz w:val="24"/>
              <w:szCs w:val="24"/>
            </w:rPr>
            <w:fldChar w:fldCharType="begin"/>
          </w:r>
          <w:r>
            <w:rPr>
              <w:sz w:val="24"/>
              <w:szCs w:val="24"/>
            </w:rPr>
            <w:instrText xml:space="preserve"> PAGEREF _Toc27140 \h </w:instrText>
          </w:r>
          <w:r>
            <w:rPr>
              <w:sz w:val="24"/>
              <w:szCs w:val="24"/>
            </w:rPr>
            <w:fldChar w:fldCharType="separate"/>
          </w:r>
          <w:r>
            <w:rPr>
              <w:sz w:val="24"/>
              <w:szCs w:val="24"/>
            </w:rPr>
            <w:t>23</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_Toc1313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一、重点机房规划原则</w:t>
          </w:r>
          <w:r>
            <w:rPr>
              <w:sz w:val="24"/>
              <w:szCs w:val="24"/>
            </w:rPr>
            <w:tab/>
          </w:r>
          <w:r>
            <w:rPr>
              <w:sz w:val="24"/>
              <w:szCs w:val="24"/>
            </w:rPr>
            <w:fldChar w:fldCharType="begin"/>
          </w:r>
          <w:r>
            <w:rPr>
              <w:sz w:val="24"/>
              <w:szCs w:val="24"/>
            </w:rPr>
            <w:instrText xml:space="preserve"> PAGEREF _Toc1313 \h </w:instrText>
          </w:r>
          <w:r>
            <w:rPr>
              <w:sz w:val="24"/>
              <w:szCs w:val="24"/>
            </w:rPr>
            <w:fldChar w:fldCharType="separate"/>
          </w:r>
          <w:r>
            <w:rPr>
              <w:sz w:val="24"/>
              <w:szCs w:val="24"/>
            </w:rPr>
            <w:t>23</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_Toc6106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二、重点机房规划方案</w:t>
          </w:r>
          <w:r>
            <w:rPr>
              <w:sz w:val="24"/>
              <w:szCs w:val="24"/>
            </w:rPr>
            <w:tab/>
          </w:r>
          <w:r>
            <w:rPr>
              <w:sz w:val="24"/>
              <w:szCs w:val="24"/>
            </w:rPr>
            <w:fldChar w:fldCharType="begin"/>
          </w:r>
          <w:r>
            <w:rPr>
              <w:sz w:val="24"/>
              <w:szCs w:val="24"/>
            </w:rPr>
            <w:instrText xml:space="preserve"> PAGEREF _Toc6106 \h </w:instrText>
          </w:r>
          <w:r>
            <w:rPr>
              <w:sz w:val="24"/>
              <w:szCs w:val="24"/>
            </w:rPr>
            <w:fldChar w:fldCharType="separate"/>
          </w:r>
          <w:r>
            <w:rPr>
              <w:sz w:val="24"/>
              <w:szCs w:val="24"/>
            </w:rPr>
            <w:t>24</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2"/>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_Toc22194 </w:instrText>
          </w:r>
          <w:r>
            <w:rPr>
              <w:rFonts w:ascii="Times New Roman" w:eastAsia="宋体" w:hAnsi="Times New Roman"/>
              <w:bCs/>
              <w:sz w:val="24"/>
              <w:szCs w:val="24"/>
              <w:highlight w:val="none"/>
              <w:lang w:val="zh-CN"/>
            </w:rPr>
            <w:fldChar w:fldCharType="separate"/>
          </w:r>
          <w:r>
            <w:rPr>
              <w:rFonts w:ascii="Times New Roman" w:eastAsia="宋体" w:hAnsi="Times New Roman" w:hint="eastAsia"/>
              <w:sz w:val="24"/>
              <w:szCs w:val="24"/>
              <w:highlight w:val="none"/>
            </w:rPr>
            <w:t>第八章 传输管道基础设施规划</w:t>
          </w:r>
          <w:r>
            <w:rPr>
              <w:sz w:val="24"/>
              <w:szCs w:val="24"/>
            </w:rPr>
            <w:tab/>
          </w:r>
          <w:r>
            <w:rPr>
              <w:sz w:val="24"/>
              <w:szCs w:val="24"/>
            </w:rPr>
            <w:fldChar w:fldCharType="begin"/>
          </w:r>
          <w:r>
            <w:rPr>
              <w:sz w:val="24"/>
              <w:szCs w:val="24"/>
            </w:rPr>
            <w:instrText xml:space="preserve"> PAGEREF _Toc22194 \h </w:instrText>
          </w:r>
          <w:r>
            <w:rPr>
              <w:sz w:val="24"/>
              <w:szCs w:val="24"/>
            </w:rPr>
            <w:fldChar w:fldCharType="separate"/>
          </w:r>
          <w:r>
            <w:rPr>
              <w:sz w:val="24"/>
              <w:szCs w:val="24"/>
            </w:rPr>
            <w:t>25</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_Toc2960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一、传输管道规划原则</w:t>
          </w:r>
          <w:r>
            <w:rPr>
              <w:sz w:val="24"/>
              <w:szCs w:val="24"/>
            </w:rPr>
            <w:tab/>
          </w:r>
          <w:r>
            <w:rPr>
              <w:sz w:val="24"/>
              <w:szCs w:val="24"/>
            </w:rPr>
            <w:fldChar w:fldCharType="begin"/>
          </w:r>
          <w:r>
            <w:rPr>
              <w:sz w:val="24"/>
              <w:szCs w:val="24"/>
            </w:rPr>
            <w:instrText xml:space="preserve"> PAGEREF _Toc2960 \h </w:instrText>
          </w:r>
          <w:r>
            <w:rPr>
              <w:sz w:val="24"/>
              <w:szCs w:val="24"/>
            </w:rPr>
            <w:fldChar w:fldCharType="separate"/>
          </w:r>
          <w:r>
            <w:rPr>
              <w:sz w:val="24"/>
              <w:szCs w:val="24"/>
            </w:rPr>
            <w:t>25</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_Toc21872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二、传输管道规划方案</w:t>
          </w:r>
          <w:r>
            <w:rPr>
              <w:sz w:val="24"/>
              <w:szCs w:val="24"/>
            </w:rPr>
            <w:tab/>
          </w:r>
          <w:r>
            <w:rPr>
              <w:sz w:val="24"/>
              <w:szCs w:val="24"/>
            </w:rPr>
            <w:fldChar w:fldCharType="begin"/>
          </w:r>
          <w:r>
            <w:rPr>
              <w:sz w:val="24"/>
              <w:szCs w:val="24"/>
            </w:rPr>
            <w:instrText xml:space="preserve"> PAGEREF _Toc21872 \h </w:instrText>
          </w:r>
          <w:r>
            <w:rPr>
              <w:sz w:val="24"/>
              <w:szCs w:val="24"/>
            </w:rPr>
            <w:fldChar w:fldCharType="separate"/>
          </w:r>
          <w:r>
            <w:rPr>
              <w:sz w:val="24"/>
              <w:szCs w:val="24"/>
            </w:rPr>
            <w:t>26</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2"/>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_Toc18516 </w:instrText>
          </w:r>
          <w:r>
            <w:rPr>
              <w:rFonts w:ascii="Times New Roman" w:eastAsia="宋体" w:hAnsi="Times New Roman"/>
              <w:bCs/>
              <w:sz w:val="24"/>
              <w:szCs w:val="24"/>
              <w:highlight w:val="none"/>
              <w:lang w:val="zh-CN"/>
            </w:rPr>
            <w:fldChar w:fldCharType="separate"/>
          </w:r>
          <w:r>
            <w:rPr>
              <w:rFonts w:ascii="Times New Roman" w:eastAsia="宋体" w:hAnsi="Times New Roman" w:hint="eastAsia"/>
              <w:sz w:val="24"/>
              <w:szCs w:val="24"/>
              <w:highlight w:val="none"/>
            </w:rPr>
            <w:t>第九章 光交节点基础设施规划</w:t>
          </w:r>
          <w:r>
            <w:rPr>
              <w:sz w:val="24"/>
              <w:szCs w:val="24"/>
            </w:rPr>
            <w:tab/>
          </w:r>
          <w:r>
            <w:rPr>
              <w:sz w:val="24"/>
              <w:szCs w:val="24"/>
            </w:rPr>
            <w:fldChar w:fldCharType="begin"/>
          </w:r>
          <w:r>
            <w:rPr>
              <w:sz w:val="24"/>
              <w:szCs w:val="24"/>
            </w:rPr>
            <w:instrText xml:space="preserve"> PAGEREF _Toc18516 \h </w:instrText>
          </w:r>
          <w:r>
            <w:rPr>
              <w:sz w:val="24"/>
              <w:szCs w:val="24"/>
            </w:rPr>
            <w:fldChar w:fldCharType="separate"/>
          </w:r>
          <w:r>
            <w:rPr>
              <w:sz w:val="24"/>
              <w:szCs w:val="24"/>
            </w:rPr>
            <w:t>27</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_Toc8273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一、光交节点规划原则</w:t>
          </w:r>
          <w:r>
            <w:rPr>
              <w:sz w:val="24"/>
              <w:szCs w:val="24"/>
            </w:rPr>
            <w:tab/>
          </w:r>
          <w:r>
            <w:rPr>
              <w:sz w:val="24"/>
              <w:szCs w:val="24"/>
            </w:rPr>
            <w:fldChar w:fldCharType="begin"/>
          </w:r>
          <w:r>
            <w:rPr>
              <w:sz w:val="24"/>
              <w:szCs w:val="24"/>
            </w:rPr>
            <w:instrText xml:space="preserve"> PAGEREF _Toc8273 \h </w:instrText>
          </w:r>
          <w:r>
            <w:rPr>
              <w:sz w:val="24"/>
              <w:szCs w:val="24"/>
            </w:rPr>
            <w:fldChar w:fldCharType="separate"/>
          </w:r>
          <w:r>
            <w:rPr>
              <w:sz w:val="24"/>
              <w:szCs w:val="24"/>
            </w:rPr>
            <w:t>27</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_Toc24530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二、光交节点规划方案</w:t>
          </w:r>
          <w:r>
            <w:rPr>
              <w:sz w:val="24"/>
              <w:szCs w:val="24"/>
            </w:rPr>
            <w:tab/>
          </w:r>
          <w:r>
            <w:rPr>
              <w:sz w:val="24"/>
              <w:szCs w:val="24"/>
            </w:rPr>
            <w:fldChar w:fldCharType="begin"/>
          </w:r>
          <w:r>
            <w:rPr>
              <w:sz w:val="24"/>
              <w:szCs w:val="24"/>
            </w:rPr>
            <w:instrText xml:space="preserve"> PAGEREF _Toc24530 \h </w:instrText>
          </w:r>
          <w:r>
            <w:rPr>
              <w:sz w:val="24"/>
              <w:szCs w:val="24"/>
            </w:rPr>
            <w:fldChar w:fldCharType="separate"/>
          </w:r>
          <w:r>
            <w:rPr>
              <w:sz w:val="24"/>
              <w:szCs w:val="24"/>
            </w:rPr>
            <w:t>27</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2"/>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_Toc32403 </w:instrText>
          </w:r>
          <w:r>
            <w:rPr>
              <w:rFonts w:ascii="Times New Roman" w:eastAsia="宋体" w:hAnsi="Times New Roman"/>
              <w:bCs/>
              <w:sz w:val="24"/>
              <w:szCs w:val="24"/>
              <w:highlight w:val="none"/>
              <w:lang w:val="zh-CN"/>
            </w:rPr>
            <w:fldChar w:fldCharType="separate"/>
          </w:r>
          <w:r>
            <w:rPr>
              <w:rFonts w:ascii="Times New Roman" w:eastAsia="宋体" w:hAnsi="Times New Roman" w:hint="eastAsia"/>
              <w:sz w:val="24"/>
              <w:szCs w:val="24"/>
              <w:highlight w:val="none"/>
            </w:rPr>
            <w:t>第十章 传输杆路基础设施规划</w:t>
          </w:r>
          <w:r>
            <w:rPr>
              <w:sz w:val="24"/>
              <w:szCs w:val="24"/>
            </w:rPr>
            <w:tab/>
          </w:r>
          <w:r>
            <w:rPr>
              <w:sz w:val="24"/>
              <w:szCs w:val="24"/>
            </w:rPr>
            <w:fldChar w:fldCharType="begin"/>
          </w:r>
          <w:r>
            <w:rPr>
              <w:sz w:val="24"/>
              <w:szCs w:val="24"/>
            </w:rPr>
            <w:instrText xml:space="preserve"> PAGEREF _Toc32403 \h </w:instrText>
          </w:r>
          <w:r>
            <w:rPr>
              <w:sz w:val="24"/>
              <w:szCs w:val="24"/>
            </w:rPr>
            <w:fldChar w:fldCharType="separate"/>
          </w:r>
          <w:r>
            <w:rPr>
              <w:sz w:val="24"/>
              <w:szCs w:val="24"/>
            </w:rPr>
            <w:t>28</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_Toc12147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一、传输杆路规划原则</w:t>
          </w:r>
          <w:r>
            <w:rPr>
              <w:sz w:val="24"/>
              <w:szCs w:val="24"/>
            </w:rPr>
            <w:tab/>
          </w:r>
          <w:r>
            <w:rPr>
              <w:sz w:val="24"/>
              <w:szCs w:val="24"/>
            </w:rPr>
            <w:fldChar w:fldCharType="begin"/>
          </w:r>
          <w:r>
            <w:rPr>
              <w:sz w:val="24"/>
              <w:szCs w:val="24"/>
            </w:rPr>
            <w:instrText xml:space="preserve"> PAGEREF _Toc12147 \h </w:instrText>
          </w:r>
          <w:r>
            <w:rPr>
              <w:sz w:val="24"/>
              <w:szCs w:val="24"/>
            </w:rPr>
            <w:fldChar w:fldCharType="separate"/>
          </w:r>
          <w:r>
            <w:rPr>
              <w:sz w:val="24"/>
              <w:szCs w:val="24"/>
            </w:rPr>
            <w:t>28</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_Toc18076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二、传输杆路规划方案</w:t>
          </w:r>
          <w:r>
            <w:rPr>
              <w:sz w:val="24"/>
              <w:szCs w:val="24"/>
            </w:rPr>
            <w:tab/>
          </w:r>
          <w:r>
            <w:rPr>
              <w:sz w:val="24"/>
              <w:szCs w:val="24"/>
            </w:rPr>
            <w:fldChar w:fldCharType="begin"/>
          </w:r>
          <w:r>
            <w:rPr>
              <w:sz w:val="24"/>
              <w:szCs w:val="24"/>
            </w:rPr>
            <w:instrText xml:space="preserve"> PAGEREF _Toc18076 \h </w:instrText>
          </w:r>
          <w:r>
            <w:rPr>
              <w:sz w:val="24"/>
              <w:szCs w:val="24"/>
            </w:rPr>
            <w:fldChar w:fldCharType="separate"/>
          </w:r>
          <w:r>
            <w:rPr>
              <w:sz w:val="24"/>
              <w:szCs w:val="24"/>
            </w:rPr>
            <w:t>28</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2"/>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_Toc20535 </w:instrText>
          </w:r>
          <w:r>
            <w:rPr>
              <w:rFonts w:ascii="Times New Roman" w:eastAsia="宋体" w:hAnsi="Times New Roman"/>
              <w:bCs/>
              <w:sz w:val="24"/>
              <w:szCs w:val="24"/>
              <w:highlight w:val="none"/>
              <w:lang w:val="zh-CN"/>
            </w:rPr>
            <w:fldChar w:fldCharType="separate"/>
          </w:r>
          <w:r>
            <w:rPr>
              <w:rFonts w:ascii="Times New Roman" w:eastAsia="宋体" w:hAnsi="Times New Roman" w:hint="eastAsia"/>
              <w:sz w:val="24"/>
              <w:szCs w:val="24"/>
              <w:highlight w:val="none"/>
            </w:rPr>
            <w:t>第十一章 铁塔、机房与市电引入改造</w:t>
          </w:r>
          <w:r>
            <w:rPr>
              <w:sz w:val="24"/>
              <w:szCs w:val="24"/>
            </w:rPr>
            <w:tab/>
          </w:r>
          <w:r>
            <w:rPr>
              <w:sz w:val="24"/>
              <w:szCs w:val="24"/>
            </w:rPr>
            <w:fldChar w:fldCharType="begin"/>
          </w:r>
          <w:r>
            <w:rPr>
              <w:sz w:val="24"/>
              <w:szCs w:val="24"/>
            </w:rPr>
            <w:instrText xml:space="preserve"> PAGEREF _Toc20535 \h </w:instrText>
          </w:r>
          <w:r>
            <w:rPr>
              <w:sz w:val="24"/>
              <w:szCs w:val="24"/>
            </w:rPr>
            <w:fldChar w:fldCharType="separate"/>
          </w:r>
          <w:r>
            <w:rPr>
              <w:sz w:val="24"/>
              <w:szCs w:val="24"/>
            </w:rPr>
            <w:t>29</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_Toc8400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一、通信</w:t>
          </w:r>
          <w:r>
            <w:rPr>
              <w:rFonts w:ascii="Times New Roman" w:eastAsia="宋体" w:hAnsi="Times New Roman" w:cstheme="majorEastAsia"/>
              <w:sz w:val="24"/>
              <w:szCs w:val="24"/>
              <w:highlight w:val="none"/>
            </w:rPr>
            <w:t>铁塔分类及</w:t>
          </w:r>
          <w:r>
            <w:rPr>
              <w:rFonts w:ascii="Times New Roman" w:eastAsia="宋体" w:hAnsi="Times New Roman" w:cstheme="majorEastAsia" w:hint="eastAsia"/>
              <w:sz w:val="24"/>
              <w:szCs w:val="24"/>
              <w:highlight w:val="none"/>
            </w:rPr>
            <w:t>应用</w:t>
          </w:r>
          <w:r>
            <w:rPr>
              <w:rFonts w:ascii="Times New Roman" w:eastAsia="宋体" w:hAnsi="Times New Roman" w:cstheme="majorEastAsia"/>
              <w:sz w:val="24"/>
              <w:szCs w:val="24"/>
              <w:highlight w:val="none"/>
            </w:rPr>
            <w:t>原则</w:t>
          </w:r>
          <w:r>
            <w:rPr>
              <w:sz w:val="24"/>
              <w:szCs w:val="24"/>
            </w:rPr>
            <w:tab/>
          </w:r>
          <w:r>
            <w:rPr>
              <w:sz w:val="24"/>
              <w:szCs w:val="24"/>
            </w:rPr>
            <w:fldChar w:fldCharType="begin"/>
          </w:r>
          <w:r>
            <w:rPr>
              <w:sz w:val="24"/>
              <w:szCs w:val="24"/>
            </w:rPr>
            <w:instrText xml:space="preserve"> PAGEREF _Toc8400 \h </w:instrText>
          </w:r>
          <w:r>
            <w:rPr>
              <w:sz w:val="24"/>
              <w:szCs w:val="24"/>
            </w:rPr>
            <w:fldChar w:fldCharType="separate"/>
          </w:r>
          <w:r>
            <w:rPr>
              <w:sz w:val="24"/>
              <w:szCs w:val="24"/>
            </w:rPr>
            <w:t>29</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_Toc5812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二、智慧路灯杆应用原则</w:t>
          </w:r>
          <w:r>
            <w:rPr>
              <w:sz w:val="24"/>
              <w:szCs w:val="24"/>
            </w:rPr>
            <w:tab/>
          </w:r>
          <w:r>
            <w:rPr>
              <w:sz w:val="24"/>
              <w:szCs w:val="24"/>
            </w:rPr>
            <w:fldChar w:fldCharType="begin"/>
          </w:r>
          <w:r>
            <w:rPr>
              <w:sz w:val="24"/>
              <w:szCs w:val="24"/>
            </w:rPr>
            <w:instrText xml:space="preserve"> PAGEREF _Toc5812 \h </w:instrText>
          </w:r>
          <w:r>
            <w:rPr>
              <w:sz w:val="24"/>
              <w:szCs w:val="24"/>
            </w:rPr>
            <w:fldChar w:fldCharType="separate"/>
          </w:r>
          <w:r>
            <w:rPr>
              <w:sz w:val="24"/>
              <w:szCs w:val="24"/>
            </w:rPr>
            <w:t>31</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_Toc11820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三、机房及配套建设原则</w:t>
          </w:r>
          <w:r>
            <w:rPr>
              <w:sz w:val="24"/>
              <w:szCs w:val="24"/>
            </w:rPr>
            <w:tab/>
          </w:r>
          <w:r>
            <w:rPr>
              <w:sz w:val="24"/>
              <w:szCs w:val="24"/>
            </w:rPr>
            <w:fldChar w:fldCharType="begin"/>
          </w:r>
          <w:r>
            <w:rPr>
              <w:sz w:val="24"/>
              <w:szCs w:val="24"/>
            </w:rPr>
            <w:instrText xml:space="preserve"> PAGEREF _Toc11820 \h </w:instrText>
          </w:r>
          <w:r>
            <w:rPr>
              <w:sz w:val="24"/>
              <w:szCs w:val="24"/>
            </w:rPr>
            <w:fldChar w:fldCharType="separate"/>
          </w:r>
          <w:r>
            <w:rPr>
              <w:sz w:val="24"/>
              <w:szCs w:val="24"/>
            </w:rPr>
            <w:t>33</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_Toc11206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四、防雷</w:t>
          </w:r>
          <w:r>
            <w:rPr>
              <w:rFonts w:ascii="Times New Roman" w:eastAsia="宋体" w:hAnsi="Times New Roman" w:cstheme="majorEastAsia"/>
              <w:sz w:val="24"/>
              <w:szCs w:val="24"/>
              <w:highlight w:val="none"/>
            </w:rPr>
            <w:t>接地原则</w:t>
          </w:r>
          <w:r>
            <w:rPr>
              <w:sz w:val="24"/>
              <w:szCs w:val="24"/>
            </w:rPr>
            <w:tab/>
          </w:r>
          <w:r>
            <w:rPr>
              <w:sz w:val="24"/>
              <w:szCs w:val="24"/>
            </w:rPr>
            <w:fldChar w:fldCharType="begin"/>
          </w:r>
          <w:r>
            <w:rPr>
              <w:sz w:val="24"/>
              <w:szCs w:val="24"/>
            </w:rPr>
            <w:instrText xml:space="preserve"> PAGEREF _Toc11206 \h </w:instrText>
          </w:r>
          <w:r>
            <w:rPr>
              <w:sz w:val="24"/>
              <w:szCs w:val="24"/>
            </w:rPr>
            <w:fldChar w:fldCharType="separate"/>
          </w:r>
          <w:r>
            <w:rPr>
              <w:sz w:val="24"/>
              <w:szCs w:val="24"/>
            </w:rPr>
            <w:t>34</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2"/>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_Toc6312 </w:instrText>
          </w:r>
          <w:r>
            <w:rPr>
              <w:rFonts w:ascii="Times New Roman" w:eastAsia="宋体" w:hAnsi="Times New Roman"/>
              <w:bCs/>
              <w:sz w:val="24"/>
              <w:szCs w:val="24"/>
              <w:highlight w:val="none"/>
              <w:lang w:val="zh-CN"/>
            </w:rPr>
            <w:fldChar w:fldCharType="separate"/>
          </w:r>
          <w:r>
            <w:rPr>
              <w:rFonts w:ascii="Times New Roman" w:eastAsia="宋体" w:hAnsi="Times New Roman" w:hint="eastAsia"/>
              <w:sz w:val="24"/>
              <w:szCs w:val="24"/>
              <w:highlight w:val="none"/>
            </w:rPr>
            <w:t>第十二章 市电引入规划</w:t>
          </w:r>
          <w:r>
            <w:rPr>
              <w:sz w:val="24"/>
              <w:szCs w:val="24"/>
            </w:rPr>
            <w:tab/>
          </w:r>
          <w:r>
            <w:rPr>
              <w:sz w:val="24"/>
              <w:szCs w:val="24"/>
            </w:rPr>
            <w:fldChar w:fldCharType="begin"/>
          </w:r>
          <w:r>
            <w:rPr>
              <w:sz w:val="24"/>
              <w:szCs w:val="24"/>
            </w:rPr>
            <w:instrText xml:space="preserve"> PAGEREF _Toc6312 \h </w:instrText>
          </w:r>
          <w:r>
            <w:rPr>
              <w:sz w:val="24"/>
              <w:szCs w:val="24"/>
            </w:rPr>
            <w:fldChar w:fldCharType="separate"/>
          </w:r>
          <w:r>
            <w:rPr>
              <w:sz w:val="24"/>
              <w:szCs w:val="24"/>
            </w:rPr>
            <w:t>35</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_Toc19431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一、市电供电等级分类标准</w:t>
          </w:r>
          <w:r>
            <w:rPr>
              <w:sz w:val="24"/>
              <w:szCs w:val="24"/>
            </w:rPr>
            <w:tab/>
          </w:r>
          <w:r>
            <w:rPr>
              <w:sz w:val="24"/>
              <w:szCs w:val="24"/>
            </w:rPr>
            <w:fldChar w:fldCharType="begin"/>
          </w:r>
          <w:r>
            <w:rPr>
              <w:sz w:val="24"/>
              <w:szCs w:val="24"/>
            </w:rPr>
            <w:instrText xml:space="preserve"> PAGEREF _Toc19431 \h </w:instrText>
          </w:r>
          <w:r>
            <w:rPr>
              <w:sz w:val="24"/>
              <w:szCs w:val="24"/>
            </w:rPr>
            <w:fldChar w:fldCharType="separate"/>
          </w:r>
          <w:r>
            <w:rPr>
              <w:sz w:val="24"/>
              <w:szCs w:val="24"/>
            </w:rPr>
            <w:t>35</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_Toc935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二、市电引入需求</w:t>
          </w:r>
          <w:r>
            <w:rPr>
              <w:sz w:val="24"/>
              <w:szCs w:val="24"/>
            </w:rPr>
            <w:tab/>
          </w:r>
          <w:r>
            <w:rPr>
              <w:sz w:val="24"/>
              <w:szCs w:val="24"/>
            </w:rPr>
            <w:fldChar w:fldCharType="begin"/>
          </w:r>
          <w:r>
            <w:rPr>
              <w:sz w:val="24"/>
              <w:szCs w:val="24"/>
            </w:rPr>
            <w:instrText xml:space="preserve"> PAGEREF _Toc935 \h </w:instrText>
          </w:r>
          <w:r>
            <w:rPr>
              <w:sz w:val="24"/>
              <w:szCs w:val="24"/>
            </w:rPr>
            <w:fldChar w:fldCharType="separate"/>
          </w:r>
          <w:r>
            <w:rPr>
              <w:sz w:val="24"/>
              <w:szCs w:val="24"/>
            </w:rPr>
            <w:t>35</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2"/>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_Toc27229 </w:instrText>
          </w:r>
          <w:r>
            <w:rPr>
              <w:rFonts w:ascii="Times New Roman" w:eastAsia="宋体" w:hAnsi="Times New Roman"/>
              <w:bCs/>
              <w:sz w:val="24"/>
              <w:szCs w:val="24"/>
              <w:highlight w:val="none"/>
              <w:lang w:val="zh-CN"/>
            </w:rPr>
            <w:fldChar w:fldCharType="separate"/>
          </w:r>
          <w:r>
            <w:rPr>
              <w:rFonts w:ascii="Times New Roman" w:eastAsia="宋体" w:hAnsi="Times New Roman" w:hint="eastAsia"/>
              <w:sz w:val="24"/>
              <w:szCs w:val="24"/>
              <w:highlight w:val="none"/>
              <w:lang w:val="en-US" w:eastAsia="zh-CN"/>
            </w:rPr>
            <w:t xml:space="preserve">第十三章 </w:t>
          </w:r>
          <w:r>
            <w:rPr>
              <w:rFonts w:ascii="Times New Roman" w:eastAsia="宋体" w:hAnsi="Times New Roman" w:hint="eastAsia"/>
              <w:sz w:val="24"/>
              <w:szCs w:val="24"/>
              <w:highlight w:val="none"/>
            </w:rPr>
            <w:t>投资估算</w:t>
          </w:r>
          <w:r>
            <w:rPr>
              <w:sz w:val="24"/>
              <w:szCs w:val="24"/>
            </w:rPr>
            <w:tab/>
          </w:r>
          <w:r>
            <w:rPr>
              <w:sz w:val="24"/>
              <w:szCs w:val="24"/>
            </w:rPr>
            <w:fldChar w:fldCharType="begin"/>
          </w:r>
          <w:r>
            <w:rPr>
              <w:sz w:val="24"/>
              <w:szCs w:val="24"/>
            </w:rPr>
            <w:instrText xml:space="preserve"> PAGEREF _Toc27229 \h </w:instrText>
          </w:r>
          <w:r>
            <w:rPr>
              <w:sz w:val="24"/>
              <w:szCs w:val="24"/>
            </w:rPr>
            <w:fldChar w:fldCharType="separate"/>
          </w:r>
          <w:r>
            <w:rPr>
              <w:sz w:val="24"/>
              <w:szCs w:val="24"/>
            </w:rPr>
            <w:t>38</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_Toc17673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lang w:val="en-US" w:eastAsia="zh-CN"/>
            </w:rPr>
            <w:t>一、</w:t>
          </w:r>
          <w:r>
            <w:rPr>
              <w:rFonts w:ascii="Times New Roman" w:eastAsia="宋体" w:hAnsi="Times New Roman" w:cstheme="majorEastAsia" w:hint="eastAsia"/>
              <w:sz w:val="24"/>
              <w:szCs w:val="24"/>
              <w:highlight w:val="none"/>
            </w:rPr>
            <w:t>估算依据</w:t>
          </w:r>
          <w:r>
            <w:rPr>
              <w:sz w:val="24"/>
              <w:szCs w:val="24"/>
            </w:rPr>
            <w:tab/>
          </w:r>
          <w:r>
            <w:rPr>
              <w:sz w:val="24"/>
              <w:szCs w:val="24"/>
            </w:rPr>
            <w:fldChar w:fldCharType="begin"/>
          </w:r>
          <w:r>
            <w:rPr>
              <w:sz w:val="24"/>
              <w:szCs w:val="24"/>
            </w:rPr>
            <w:instrText xml:space="preserve"> PAGEREF _Toc17673 \h </w:instrText>
          </w:r>
          <w:r>
            <w:rPr>
              <w:sz w:val="24"/>
              <w:szCs w:val="24"/>
            </w:rPr>
            <w:fldChar w:fldCharType="separate"/>
          </w:r>
          <w:r>
            <w:rPr>
              <w:sz w:val="24"/>
              <w:szCs w:val="24"/>
            </w:rPr>
            <w:t>38</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_Toc7822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lang w:val="en-US" w:eastAsia="zh-CN"/>
            </w:rPr>
            <w:t>二、</w:t>
          </w:r>
          <w:r>
            <w:rPr>
              <w:rFonts w:ascii="Times New Roman" w:eastAsia="宋体" w:hAnsi="Times New Roman" w:cstheme="majorEastAsia" w:hint="eastAsia"/>
              <w:sz w:val="24"/>
              <w:szCs w:val="24"/>
              <w:highlight w:val="none"/>
            </w:rPr>
            <w:t>资金来源</w:t>
          </w:r>
          <w:r>
            <w:rPr>
              <w:sz w:val="24"/>
              <w:szCs w:val="24"/>
            </w:rPr>
            <w:tab/>
          </w:r>
          <w:r>
            <w:rPr>
              <w:sz w:val="24"/>
              <w:szCs w:val="24"/>
            </w:rPr>
            <w:fldChar w:fldCharType="begin"/>
          </w:r>
          <w:r>
            <w:rPr>
              <w:sz w:val="24"/>
              <w:szCs w:val="24"/>
            </w:rPr>
            <w:instrText xml:space="preserve"> PAGEREF _Toc7822 \h </w:instrText>
          </w:r>
          <w:r>
            <w:rPr>
              <w:sz w:val="24"/>
              <w:szCs w:val="24"/>
            </w:rPr>
            <w:fldChar w:fldCharType="separate"/>
          </w:r>
          <w:r>
            <w:rPr>
              <w:sz w:val="24"/>
              <w:szCs w:val="24"/>
            </w:rPr>
            <w:t>38</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_Toc21394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lang w:val="en-US" w:eastAsia="zh-CN"/>
            </w:rPr>
            <w:t>三、投资估算及汇总</w:t>
          </w:r>
          <w:r>
            <w:rPr>
              <w:sz w:val="24"/>
              <w:szCs w:val="24"/>
            </w:rPr>
            <w:tab/>
          </w:r>
          <w:r>
            <w:rPr>
              <w:sz w:val="24"/>
              <w:szCs w:val="24"/>
            </w:rPr>
            <w:fldChar w:fldCharType="begin"/>
          </w:r>
          <w:r>
            <w:rPr>
              <w:sz w:val="24"/>
              <w:szCs w:val="24"/>
            </w:rPr>
            <w:instrText xml:space="preserve"> PAGEREF _Toc21394 \h </w:instrText>
          </w:r>
          <w:r>
            <w:rPr>
              <w:sz w:val="24"/>
              <w:szCs w:val="24"/>
            </w:rPr>
            <w:fldChar w:fldCharType="separate"/>
          </w:r>
          <w:r>
            <w:rPr>
              <w:sz w:val="24"/>
              <w:szCs w:val="24"/>
            </w:rPr>
            <w:t>38</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2"/>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_Toc13629 </w:instrText>
          </w:r>
          <w:r>
            <w:rPr>
              <w:rFonts w:ascii="Times New Roman" w:eastAsia="宋体" w:hAnsi="Times New Roman"/>
              <w:bCs/>
              <w:sz w:val="24"/>
              <w:szCs w:val="24"/>
              <w:highlight w:val="none"/>
              <w:lang w:val="zh-CN"/>
            </w:rPr>
            <w:fldChar w:fldCharType="separate"/>
          </w:r>
          <w:r>
            <w:rPr>
              <w:rFonts w:ascii="Times New Roman" w:eastAsia="宋体" w:hAnsi="Times New Roman" w:hint="eastAsia"/>
              <w:sz w:val="24"/>
              <w:szCs w:val="24"/>
              <w:highlight w:val="none"/>
            </w:rPr>
            <w:t>第十</w:t>
          </w:r>
          <w:r>
            <w:rPr>
              <w:rFonts w:ascii="Times New Roman" w:eastAsia="宋体" w:hAnsi="Times New Roman" w:hint="eastAsia"/>
              <w:sz w:val="24"/>
              <w:szCs w:val="24"/>
              <w:highlight w:val="none"/>
              <w:lang w:val="en-US" w:eastAsia="zh-CN"/>
            </w:rPr>
            <w:t>四</w:t>
          </w:r>
          <w:r>
            <w:rPr>
              <w:rFonts w:ascii="Times New Roman" w:eastAsia="宋体" w:hAnsi="Times New Roman" w:hint="eastAsia"/>
              <w:sz w:val="24"/>
              <w:szCs w:val="24"/>
              <w:highlight w:val="none"/>
            </w:rPr>
            <w:t>章 环境保护规划</w:t>
          </w:r>
          <w:r>
            <w:rPr>
              <w:sz w:val="24"/>
              <w:szCs w:val="24"/>
            </w:rPr>
            <w:tab/>
          </w:r>
          <w:r>
            <w:rPr>
              <w:sz w:val="24"/>
              <w:szCs w:val="24"/>
            </w:rPr>
            <w:fldChar w:fldCharType="begin"/>
          </w:r>
          <w:r>
            <w:rPr>
              <w:sz w:val="24"/>
              <w:szCs w:val="24"/>
            </w:rPr>
            <w:instrText xml:space="preserve"> PAGEREF _Toc13629 \h </w:instrText>
          </w:r>
          <w:r>
            <w:rPr>
              <w:sz w:val="24"/>
              <w:szCs w:val="24"/>
            </w:rPr>
            <w:fldChar w:fldCharType="separate"/>
          </w:r>
          <w:r>
            <w:rPr>
              <w:sz w:val="24"/>
              <w:szCs w:val="24"/>
            </w:rPr>
            <w:t>40</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_Toc32197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一、环境保护规划依据</w:t>
          </w:r>
          <w:r>
            <w:rPr>
              <w:sz w:val="24"/>
              <w:szCs w:val="24"/>
            </w:rPr>
            <w:tab/>
          </w:r>
          <w:r>
            <w:rPr>
              <w:sz w:val="24"/>
              <w:szCs w:val="24"/>
            </w:rPr>
            <w:fldChar w:fldCharType="begin"/>
          </w:r>
          <w:r>
            <w:rPr>
              <w:sz w:val="24"/>
              <w:szCs w:val="24"/>
            </w:rPr>
            <w:instrText xml:space="preserve"> PAGEREF _Toc32197 \h </w:instrText>
          </w:r>
          <w:r>
            <w:rPr>
              <w:sz w:val="24"/>
              <w:szCs w:val="24"/>
            </w:rPr>
            <w:fldChar w:fldCharType="separate"/>
          </w:r>
          <w:r>
            <w:rPr>
              <w:sz w:val="24"/>
              <w:szCs w:val="24"/>
            </w:rPr>
            <w:t>40</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_Toc19590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二、环境保护规划原则</w:t>
          </w:r>
          <w:r>
            <w:rPr>
              <w:sz w:val="24"/>
              <w:szCs w:val="24"/>
            </w:rPr>
            <w:tab/>
          </w:r>
          <w:r>
            <w:rPr>
              <w:sz w:val="24"/>
              <w:szCs w:val="24"/>
            </w:rPr>
            <w:fldChar w:fldCharType="begin"/>
          </w:r>
          <w:r>
            <w:rPr>
              <w:sz w:val="24"/>
              <w:szCs w:val="24"/>
            </w:rPr>
            <w:instrText xml:space="preserve"> PAGEREF _Toc19590 \h </w:instrText>
          </w:r>
          <w:r>
            <w:rPr>
              <w:sz w:val="24"/>
              <w:szCs w:val="24"/>
            </w:rPr>
            <w:fldChar w:fldCharType="separate"/>
          </w:r>
          <w:r>
            <w:rPr>
              <w:sz w:val="24"/>
              <w:szCs w:val="24"/>
            </w:rPr>
            <w:t>42</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_Toc21607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三、工程对环境的影响</w:t>
          </w:r>
          <w:r>
            <w:rPr>
              <w:sz w:val="24"/>
              <w:szCs w:val="24"/>
            </w:rPr>
            <w:tab/>
          </w:r>
          <w:r>
            <w:rPr>
              <w:sz w:val="24"/>
              <w:szCs w:val="24"/>
            </w:rPr>
            <w:fldChar w:fldCharType="begin"/>
          </w:r>
          <w:r>
            <w:rPr>
              <w:sz w:val="24"/>
              <w:szCs w:val="24"/>
            </w:rPr>
            <w:instrText xml:space="preserve"> PAGEREF _Toc21607 \h </w:instrText>
          </w:r>
          <w:r>
            <w:rPr>
              <w:sz w:val="24"/>
              <w:szCs w:val="24"/>
            </w:rPr>
            <w:fldChar w:fldCharType="separate"/>
          </w:r>
          <w:r>
            <w:rPr>
              <w:sz w:val="24"/>
              <w:szCs w:val="24"/>
            </w:rPr>
            <w:t>42</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_Toc22728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四、节能减排方式</w:t>
          </w:r>
          <w:r>
            <w:rPr>
              <w:sz w:val="24"/>
              <w:szCs w:val="24"/>
            </w:rPr>
            <w:tab/>
          </w:r>
          <w:r>
            <w:rPr>
              <w:sz w:val="24"/>
              <w:szCs w:val="24"/>
            </w:rPr>
            <w:fldChar w:fldCharType="begin"/>
          </w:r>
          <w:r>
            <w:rPr>
              <w:sz w:val="24"/>
              <w:szCs w:val="24"/>
            </w:rPr>
            <w:instrText xml:space="preserve"> PAGEREF _Toc22728 \h </w:instrText>
          </w:r>
          <w:r>
            <w:rPr>
              <w:sz w:val="24"/>
              <w:szCs w:val="24"/>
            </w:rPr>
            <w:fldChar w:fldCharType="separate"/>
          </w:r>
          <w:r>
            <w:rPr>
              <w:sz w:val="24"/>
              <w:szCs w:val="24"/>
            </w:rPr>
            <w:t>42</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_Toc20035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五、电磁辐射与社会风险管理</w:t>
          </w:r>
          <w:r>
            <w:rPr>
              <w:sz w:val="24"/>
              <w:szCs w:val="24"/>
            </w:rPr>
            <w:tab/>
          </w:r>
          <w:r>
            <w:rPr>
              <w:sz w:val="24"/>
              <w:szCs w:val="24"/>
            </w:rPr>
            <w:fldChar w:fldCharType="begin"/>
          </w:r>
          <w:r>
            <w:rPr>
              <w:sz w:val="24"/>
              <w:szCs w:val="24"/>
            </w:rPr>
            <w:instrText xml:space="preserve"> PAGEREF _Toc20035 \h </w:instrText>
          </w:r>
          <w:r>
            <w:rPr>
              <w:sz w:val="24"/>
              <w:szCs w:val="24"/>
            </w:rPr>
            <w:fldChar w:fldCharType="separate"/>
          </w:r>
          <w:r>
            <w:rPr>
              <w:sz w:val="24"/>
              <w:szCs w:val="24"/>
            </w:rPr>
            <w:t>43</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2"/>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_Toc8681 </w:instrText>
          </w:r>
          <w:r>
            <w:rPr>
              <w:rFonts w:ascii="Times New Roman" w:eastAsia="宋体" w:hAnsi="Times New Roman"/>
              <w:bCs/>
              <w:sz w:val="24"/>
              <w:szCs w:val="24"/>
              <w:highlight w:val="none"/>
              <w:lang w:val="zh-CN"/>
            </w:rPr>
            <w:fldChar w:fldCharType="separate"/>
          </w:r>
          <w:r>
            <w:rPr>
              <w:rFonts w:ascii="Times New Roman" w:eastAsia="宋体" w:hAnsi="Times New Roman" w:hint="eastAsia"/>
              <w:sz w:val="24"/>
              <w:szCs w:val="24"/>
              <w:highlight w:val="none"/>
            </w:rPr>
            <w:t>第十</w:t>
          </w:r>
          <w:r>
            <w:rPr>
              <w:rFonts w:ascii="Times New Roman" w:eastAsia="宋体" w:hAnsi="Times New Roman" w:hint="eastAsia"/>
              <w:sz w:val="24"/>
              <w:szCs w:val="24"/>
              <w:highlight w:val="none"/>
              <w:lang w:val="en-US" w:eastAsia="zh-CN"/>
            </w:rPr>
            <w:t>五</w:t>
          </w:r>
          <w:r>
            <w:rPr>
              <w:rFonts w:ascii="Times New Roman" w:eastAsia="宋体" w:hAnsi="Times New Roman" w:hint="eastAsia"/>
              <w:sz w:val="24"/>
              <w:szCs w:val="24"/>
              <w:highlight w:val="none"/>
            </w:rPr>
            <w:t>章 支撑</w:t>
          </w:r>
          <w:r>
            <w:rPr>
              <w:rFonts w:ascii="Times New Roman" w:eastAsia="宋体" w:hAnsi="Times New Roman"/>
              <w:sz w:val="24"/>
              <w:szCs w:val="24"/>
              <w:highlight w:val="none"/>
            </w:rPr>
            <w:t>保障规划</w:t>
          </w:r>
          <w:r>
            <w:rPr>
              <w:sz w:val="24"/>
              <w:szCs w:val="24"/>
            </w:rPr>
            <w:tab/>
          </w:r>
          <w:r>
            <w:rPr>
              <w:sz w:val="24"/>
              <w:szCs w:val="24"/>
            </w:rPr>
            <w:fldChar w:fldCharType="begin"/>
          </w:r>
          <w:r>
            <w:rPr>
              <w:sz w:val="24"/>
              <w:szCs w:val="24"/>
            </w:rPr>
            <w:instrText xml:space="preserve"> PAGEREF _Toc8681 \h </w:instrText>
          </w:r>
          <w:r>
            <w:rPr>
              <w:sz w:val="24"/>
              <w:szCs w:val="24"/>
            </w:rPr>
            <w:fldChar w:fldCharType="separate"/>
          </w:r>
          <w:r>
            <w:rPr>
              <w:sz w:val="24"/>
              <w:szCs w:val="24"/>
            </w:rPr>
            <w:t>46</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_Toc5864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一、加强组织保障</w:t>
          </w:r>
          <w:r>
            <w:rPr>
              <w:sz w:val="24"/>
              <w:szCs w:val="24"/>
            </w:rPr>
            <w:tab/>
          </w:r>
          <w:r>
            <w:rPr>
              <w:sz w:val="24"/>
              <w:szCs w:val="24"/>
            </w:rPr>
            <w:fldChar w:fldCharType="begin"/>
          </w:r>
          <w:r>
            <w:rPr>
              <w:sz w:val="24"/>
              <w:szCs w:val="24"/>
            </w:rPr>
            <w:instrText xml:space="preserve"> PAGEREF _Toc5864 \h </w:instrText>
          </w:r>
          <w:r>
            <w:rPr>
              <w:sz w:val="24"/>
              <w:szCs w:val="24"/>
            </w:rPr>
            <w:fldChar w:fldCharType="separate"/>
          </w:r>
          <w:r>
            <w:rPr>
              <w:sz w:val="24"/>
              <w:szCs w:val="24"/>
            </w:rPr>
            <w:t>46</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_Toc906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二、政策扶持</w:t>
          </w:r>
          <w:r>
            <w:rPr>
              <w:sz w:val="24"/>
              <w:szCs w:val="24"/>
            </w:rPr>
            <w:tab/>
          </w:r>
          <w:r>
            <w:rPr>
              <w:sz w:val="24"/>
              <w:szCs w:val="24"/>
            </w:rPr>
            <w:fldChar w:fldCharType="begin"/>
          </w:r>
          <w:r>
            <w:rPr>
              <w:sz w:val="24"/>
              <w:szCs w:val="24"/>
            </w:rPr>
            <w:instrText xml:space="preserve"> PAGEREF _Toc906 \h </w:instrText>
          </w:r>
          <w:r>
            <w:rPr>
              <w:sz w:val="24"/>
              <w:szCs w:val="24"/>
            </w:rPr>
            <w:fldChar w:fldCharType="separate"/>
          </w:r>
          <w:r>
            <w:rPr>
              <w:sz w:val="24"/>
              <w:szCs w:val="24"/>
            </w:rPr>
            <w:t>46</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_Toc18549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三、优化行业发展环境</w:t>
          </w:r>
          <w:r>
            <w:rPr>
              <w:sz w:val="24"/>
              <w:szCs w:val="24"/>
            </w:rPr>
            <w:tab/>
          </w:r>
          <w:r>
            <w:rPr>
              <w:sz w:val="24"/>
              <w:szCs w:val="24"/>
            </w:rPr>
            <w:fldChar w:fldCharType="begin"/>
          </w:r>
          <w:r>
            <w:rPr>
              <w:sz w:val="24"/>
              <w:szCs w:val="24"/>
            </w:rPr>
            <w:instrText xml:space="preserve"> PAGEREF _Toc18549 \h </w:instrText>
          </w:r>
          <w:r>
            <w:rPr>
              <w:sz w:val="24"/>
              <w:szCs w:val="24"/>
            </w:rPr>
            <w:fldChar w:fldCharType="separate"/>
          </w:r>
          <w:r>
            <w:rPr>
              <w:sz w:val="24"/>
              <w:szCs w:val="24"/>
            </w:rPr>
            <w:t>47</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_Toc20530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四、建立健全多元化投融资机制</w:t>
          </w:r>
          <w:r>
            <w:rPr>
              <w:sz w:val="24"/>
              <w:szCs w:val="24"/>
            </w:rPr>
            <w:tab/>
          </w:r>
          <w:r>
            <w:rPr>
              <w:sz w:val="24"/>
              <w:szCs w:val="24"/>
            </w:rPr>
            <w:fldChar w:fldCharType="begin"/>
          </w:r>
          <w:r>
            <w:rPr>
              <w:sz w:val="24"/>
              <w:szCs w:val="24"/>
            </w:rPr>
            <w:instrText xml:space="preserve"> PAGEREF _Toc20530 \h </w:instrText>
          </w:r>
          <w:r>
            <w:rPr>
              <w:sz w:val="24"/>
              <w:szCs w:val="24"/>
            </w:rPr>
            <w:fldChar w:fldCharType="separate"/>
          </w:r>
          <w:r>
            <w:rPr>
              <w:sz w:val="24"/>
              <w:szCs w:val="24"/>
            </w:rPr>
            <w:t>47</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_Toc4274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五、营造良好舆论氛围</w:t>
          </w:r>
          <w:r>
            <w:rPr>
              <w:sz w:val="24"/>
              <w:szCs w:val="24"/>
            </w:rPr>
            <w:tab/>
          </w:r>
          <w:r>
            <w:rPr>
              <w:sz w:val="24"/>
              <w:szCs w:val="24"/>
            </w:rPr>
            <w:fldChar w:fldCharType="begin"/>
          </w:r>
          <w:r>
            <w:rPr>
              <w:sz w:val="24"/>
              <w:szCs w:val="24"/>
            </w:rPr>
            <w:instrText xml:space="preserve"> PAGEREF _Toc4274 \h </w:instrText>
          </w:r>
          <w:r>
            <w:rPr>
              <w:sz w:val="24"/>
              <w:szCs w:val="24"/>
            </w:rPr>
            <w:fldChar w:fldCharType="separate"/>
          </w:r>
          <w:r>
            <w:rPr>
              <w:sz w:val="24"/>
              <w:szCs w:val="24"/>
            </w:rPr>
            <w:t>48</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_Toc30327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六、加强通信安全体系建设</w:t>
          </w:r>
          <w:r>
            <w:rPr>
              <w:sz w:val="24"/>
              <w:szCs w:val="24"/>
            </w:rPr>
            <w:tab/>
          </w:r>
          <w:r>
            <w:rPr>
              <w:sz w:val="24"/>
              <w:szCs w:val="24"/>
            </w:rPr>
            <w:fldChar w:fldCharType="begin"/>
          </w:r>
          <w:r>
            <w:rPr>
              <w:sz w:val="24"/>
              <w:szCs w:val="24"/>
            </w:rPr>
            <w:instrText xml:space="preserve"> PAGEREF _Toc30327 \h </w:instrText>
          </w:r>
          <w:r>
            <w:rPr>
              <w:sz w:val="24"/>
              <w:szCs w:val="24"/>
            </w:rPr>
            <w:fldChar w:fldCharType="separate"/>
          </w:r>
          <w:r>
            <w:rPr>
              <w:sz w:val="24"/>
              <w:szCs w:val="24"/>
            </w:rPr>
            <w:t>48</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_Toc1033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rPr>
            <w:t>七、进行考核评估体系建设</w:t>
          </w:r>
          <w:r>
            <w:rPr>
              <w:sz w:val="24"/>
              <w:szCs w:val="24"/>
            </w:rPr>
            <w:tab/>
          </w:r>
          <w:r>
            <w:rPr>
              <w:sz w:val="24"/>
              <w:szCs w:val="24"/>
            </w:rPr>
            <w:fldChar w:fldCharType="begin"/>
          </w:r>
          <w:r>
            <w:rPr>
              <w:sz w:val="24"/>
              <w:szCs w:val="24"/>
            </w:rPr>
            <w:instrText xml:space="preserve"> PAGEREF _Toc1033 \h </w:instrText>
          </w:r>
          <w:r>
            <w:rPr>
              <w:sz w:val="24"/>
              <w:szCs w:val="24"/>
            </w:rPr>
            <w:fldChar w:fldCharType="separate"/>
          </w:r>
          <w:r>
            <w:rPr>
              <w:sz w:val="24"/>
              <w:szCs w:val="24"/>
            </w:rPr>
            <w:t>48</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2"/>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_Toc16546 </w:instrText>
          </w:r>
          <w:r>
            <w:rPr>
              <w:rFonts w:ascii="Times New Roman" w:eastAsia="宋体" w:hAnsi="Times New Roman"/>
              <w:bCs/>
              <w:sz w:val="24"/>
              <w:szCs w:val="24"/>
              <w:highlight w:val="none"/>
              <w:lang w:val="zh-CN"/>
            </w:rPr>
            <w:fldChar w:fldCharType="separate"/>
          </w:r>
          <w:r>
            <w:rPr>
              <w:rFonts w:ascii="Times New Roman" w:eastAsia="宋体" w:hAnsi="Times New Roman" w:hint="eastAsia"/>
              <w:sz w:val="24"/>
              <w:szCs w:val="24"/>
              <w:highlight w:val="none"/>
              <w:lang w:val="en-US" w:eastAsia="zh-CN"/>
            </w:rPr>
            <w:t>附  录</w:t>
          </w:r>
          <w:r>
            <w:rPr>
              <w:sz w:val="24"/>
              <w:szCs w:val="24"/>
            </w:rPr>
            <w:tab/>
          </w:r>
          <w:r>
            <w:rPr>
              <w:sz w:val="24"/>
              <w:szCs w:val="24"/>
            </w:rPr>
            <w:fldChar w:fldCharType="begin"/>
          </w:r>
          <w:r>
            <w:rPr>
              <w:sz w:val="24"/>
              <w:szCs w:val="24"/>
            </w:rPr>
            <w:instrText xml:space="preserve"> PAGEREF _Toc16546 \h </w:instrText>
          </w:r>
          <w:r>
            <w:rPr>
              <w:sz w:val="24"/>
              <w:szCs w:val="24"/>
            </w:rPr>
            <w:fldChar w:fldCharType="separate"/>
          </w:r>
          <w:r>
            <w:rPr>
              <w:sz w:val="24"/>
              <w:szCs w:val="24"/>
            </w:rPr>
            <w:t>50</w:t>
          </w:r>
          <w:r>
            <w:rPr>
              <w:sz w:val="24"/>
              <w:szCs w:val="24"/>
            </w:rPr>
            <w:fldChar w:fldCharType="end"/>
          </w:r>
          <w:r>
            <w:rPr>
              <w:rFonts w:ascii="Times New Roman" w:eastAsia="宋体" w:hAnsi="Times New Roman"/>
              <w:bCs/>
              <w:color w:val="auto"/>
              <w:sz w:val="24"/>
              <w:szCs w:val="24"/>
              <w:highlight w:val="none"/>
              <w:lang w:val="zh-CN"/>
            </w:rPr>
            <w:fldChar w:fldCharType="end"/>
          </w:r>
        </w:p>
        <w:p>
          <w:pPr>
            <w:pStyle w:val="TOC3"/>
            <w:tabs>
              <w:tab w:val="right" w:leader="dot" w:pos="10254"/>
            </w:tabs>
            <w:rPr>
              <w:sz w:val="24"/>
              <w:szCs w:val="24"/>
            </w:rPr>
          </w:pPr>
          <w:r>
            <w:rPr>
              <w:rFonts w:ascii="Times New Roman" w:eastAsia="宋体" w:hAnsi="Times New Roman"/>
              <w:bCs/>
              <w:color w:val="auto"/>
              <w:sz w:val="24"/>
              <w:szCs w:val="24"/>
              <w:highlight w:val="none"/>
              <w:lang w:val="zh-CN"/>
            </w:rPr>
            <w:fldChar w:fldCharType="begin"/>
          </w:r>
          <w:r>
            <w:rPr>
              <w:rFonts w:ascii="Times New Roman" w:eastAsia="宋体" w:hAnsi="Times New Roman"/>
              <w:bCs/>
              <w:sz w:val="24"/>
              <w:szCs w:val="24"/>
              <w:highlight w:val="none"/>
              <w:lang w:val="zh-CN"/>
            </w:rPr>
            <w:instrText xml:space="preserve"> HYPERLINK \l _Toc13589 </w:instrText>
          </w:r>
          <w:r>
            <w:rPr>
              <w:rFonts w:ascii="Times New Roman" w:eastAsia="宋体" w:hAnsi="Times New Roman"/>
              <w:bCs/>
              <w:sz w:val="24"/>
              <w:szCs w:val="24"/>
              <w:highlight w:val="none"/>
              <w:lang w:val="zh-CN"/>
            </w:rPr>
            <w:fldChar w:fldCharType="separate"/>
          </w:r>
          <w:r>
            <w:rPr>
              <w:rFonts w:ascii="Times New Roman" w:eastAsia="宋体" w:hAnsi="Times New Roman" w:cstheme="majorEastAsia" w:hint="eastAsia"/>
              <w:sz w:val="24"/>
              <w:szCs w:val="24"/>
              <w:highlight w:val="none"/>
              <w:lang w:val="en-US" w:eastAsia="zh-CN"/>
            </w:rPr>
            <w:t>名词解释</w:t>
          </w:r>
          <w:r>
            <w:rPr>
              <w:sz w:val="24"/>
              <w:szCs w:val="24"/>
            </w:rPr>
            <w:tab/>
          </w:r>
          <w:r>
            <w:rPr>
              <w:sz w:val="24"/>
              <w:szCs w:val="24"/>
            </w:rPr>
            <w:fldChar w:fldCharType="begin"/>
          </w:r>
          <w:r>
            <w:rPr>
              <w:sz w:val="24"/>
              <w:szCs w:val="24"/>
            </w:rPr>
            <w:instrText xml:space="preserve"> PAGEREF _Toc13589 \h </w:instrText>
          </w:r>
          <w:r>
            <w:rPr>
              <w:sz w:val="24"/>
              <w:szCs w:val="24"/>
            </w:rPr>
            <w:fldChar w:fldCharType="separate"/>
          </w:r>
          <w:r>
            <w:rPr>
              <w:sz w:val="24"/>
              <w:szCs w:val="24"/>
            </w:rPr>
            <w:t>50</w:t>
          </w:r>
          <w:r>
            <w:rPr>
              <w:sz w:val="24"/>
              <w:szCs w:val="24"/>
            </w:rPr>
            <w:fldChar w:fldCharType="end"/>
          </w:r>
          <w:r>
            <w:rPr>
              <w:rFonts w:ascii="Times New Roman" w:eastAsia="宋体" w:hAnsi="Times New Roman"/>
              <w:bCs/>
              <w:color w:val="auto"/>
              <w:sz w:val="24"/>
              <w:szCs w:val="24"/>
              <w:highlight w:val="none"/>
              <w:lang w:val="zh-CN"/>
            </w:rPr>
            <w:fldChar w:fldCharType="end"/>
          </w:r>
        </w:p>
        <w:p>
          <w:pPr>
            <w:spacing w:line="240" w:lineRule="auto"/>
            <w:ind w:left="0" w:firstLine="480"/>
            <w:rPr>
              <w:rFonts w:ascii="Times New Roman" w:eastAsia="宋体" w:hAnsi="Times New Roman"/>
              <w:color w:val="auto"/>
              <w:highlight w:val="none"/>
            </w:rPr>
          </w:pPr>
          <w:r>
            <w:rPr>
              <w:rFonts w:ascii="Times New Roman" w:eastAsia="宋体" w:hAnsi="Times New Roman"/>
              <w:bCs/>
              <w:color w:val="auto"/>
              <w:sz w:val="24"/>
              <w:szCs w:val="24"/>
              <w:highlight w:val="none"/>
              <w:lang w:val="zh-CN"/>
            </w:rPr>
            <w:fldChar w:fldCharType="end"/>
          </w:r>
        </w:p>
      </w:sdtContent>
    </w:sdt>
    <w:p>
      <w:pPr>
        <w:pStyle w:val="Heading2"/>
        <w:spacing w:before="260" w:after="260" w:line="240" w:lineRule="auto"/>
        <w:ind w:left="0" w:firstLine="643"/>
        <w:rPr>
          <w:rFonts w:ascii="Times New Roman" w:eastAsia="宋体" w:hAnsi="Times New Roman"/>
          <w:color w:val="auto"/>
          <w:sz w:val="32"/>
          <w:szCs w:val="32"/>
          <w:highlight w:val="none"/>
        </w:rPr>
        <w:sectPr>
          <w:headerReference w:type="default" r:id="rId12"/>
          <w:footerReference w:type="default" r:id="rId13"/>
          <w:footerReference w:type="first" r:id="rId14"/>
          <w:pgSz w:w="23814" w:h="16839" w:orient="landscape"/>
          <w:pgMar w:top="1797" w:right="1440" w:bottom="1797" w:left="1440" w:header="851" w:footer="992" w:gutter="0"/>
          <w:pgNumType w:start="0"/>
          <w:cols w:num="2" w:space="720" w:equalWidth="0">
            <w:col w:w="10254" w:space="425"/>
            <w:col w:w="10254"/>
          </w:cols>
          <w:titlePg/>
          <w:docGrid w:type="lines" w:linePitch="286" w:charSpace="0"/>
        </w:sectPr>
      </w:pPr>
    </w:p>
    <w:p>
      <w:pPr>
        <w:pStyle w:val="Heading2"/>
        <w:spacing w:before="260" w:after="260" w:line="240" w:lineRule="auto"/>
        <w:ind w:left="0" w:firstLine="643"/>
        <w:rPr>
          <w:rFonts w:ascii="Times New Roman" w:eastAsia="宋体" w:hAnsi="Times New Roman"/>
          <w:color w:val="auto"/>
          <w:sz w:val="32"/>
          <w:szCs w:val="32"/>
          <w:highlight w:val="none"/>
        </w:rPr>
      </w:pPr>
      <w:bookmarkStart w:id="2" w:name="_Toc7294"/>
      <w:r>
        <w:rPr>
          <w:rFonts w:ascii="Times New Roman" w:eastAsia="宋体" w:hAnsi="Times New Roman" w:hint="eastAsia"/>
          <w:color w:val="auto"/>
          <w:sz w:val="32"/>
          <w:szCs w:val="32"/>
          <w:highlight w:val="none"/>
        </w:rPr>
        <w:t>第一章 规划概述</w:t>
      </w:r>
      <w:bookmarkEnd w:id="2"/>
      <w:r>
        <w:rPr>
          <w:rFonts w:ascii="Times New Roman" w:eastAsia="宋体" w:hAnsi="Times New Roman" w:hint="eastAsia"/>
          <w:color w:val="auto"/>
          <w:sz w:val="32"/>
          <w:szCs w:val="32"/>
          <w:highlight w:val="none"/>
        </w:rPr>
        <w:tab/>
      </w:r>
    </w:p>
    <w:p>
      <w:pPr>
        <w:pStyle w:val="Heading3"/>
        <w:spacing w:line="240" w:lineRule="auto"/>
        <w:ind w:left="0" w:firstLine="482"/>
        <w:rPr>
          <w:rFonts w:ascii="Times New Roman" w:eastAsia="宋体" w:hAnsi="Times New Roman" w:cstheme="majorEastAsia"/>
          <w:color w:val="auto"/>
          <w:sz w:val="24"/>
          <w:szCs w:val="24"/>
          <w:highlight w:val="none"/>
        </w:rPr>
      </w:pPr>
      <w:bookmarkStart w:id="3" w:name="_Toc23708"/>
      <w:r>
        <w:rPr>
          <w:rFonts w:ascii="Times New Roman" w:eastAsia="宋体" w:hAnsi="Times New Roman" w:cstheme="majorEastAsia" w:hint="eastAsia"/>
          <w:color w:val="auto"/>
          <w:sz w:val="24"/>
          <w:szCs w:val="24"/>
          <w:highlight w:val="none"/>
        </w:rPr>
        <w:t>一、规划背景</w:t>
      </w:r>
      <w:bookmarkEnd w:id="3"/>
      <w:r>
        <w:rPr>
          <w:rFonts w:ascii="Times New Roman" w:eastAsia="宋体" w:hAnsi="Times New Roman" w:cstheme="majorEastAsia" w:hint="eastAsia"/>
          <w:color w:val="auto"/>
          <w:sz w:val="24"/>
          <w:szCs w:val="24"/>
          <w:highlight w:val="none"/>
        </w:rPr>
        <w:tab/>
      </w:r>
    </w:p>
    <w:p>
      <w:pPr>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2019年6月6日，工信部正式颁发了5G商用牌照，进一步加快我国5G网络建设和普及速度，广西各基础电信企业已经启动5G网络建设。为响应国家及自治区政府号召，落实管局工作部署，提前储备5G站址、局房、管道传输等通信基础设施资源，有效推进5G网络建设进度，我区5G通信基础设施规划编制工作已经开展。</w:t>
      </w:r>
    </w:p>
    <w:p>
      <w:pPr>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将通信基站、传输管线等通信基础设施纳入城市规划是城乡规划法、电信条例的基本要求，是落实“宽带中国”战略，构建下一代国家信息基础设施，全面推进信息化建设，促进信息消费的重要保障，是提升城市服务功能，提高城镇化发展质量的客观需要。但从目前情况看，无线通信基站、宽带网络设施等规划不完善，基站选址难、建设难等问题比较突出，“光纤到户”还面临诸多困难，农村通信基础设施建设还比较薄弱，制约信息通信网络快速发展和广西数字经济建设。</w:t>
      </w:r>
    </w:p>
    <w:p>
      <w:pPr>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广西壮族自治区住房和城乡建设厅与广西壮族自治区通信管理局联合发文《关于加强广西通信基础设施规划工作的通知》（桂建规园[2016]23号）文件，文件根据《住房城乡建设部、工业和信息化部关于加强城市通信基础设施规划的通知》（建规[2015]132号</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要求，将通信光缆、机房、基站、管道线路（以下简称“管线”）等通信基础设施纳入城市规划，是《城乡规划法》、《电信条</w:t>
      </w:r>
      <w:r>
        <w:rPr>
          <w:rFonts w:ascii="Times New Roman" w:eastAsia="宋体" w:hAnsi="Times New Roman" w:hint="eastAsia"/>
          <w:color w:val="auto"/>
          <w:sz w:val="24"/>
          <w:highlight w:val="none"/>
          <w:lang w:val="en-US" w:eastAsia="zh-CN"/>
        </w:rPr>
        <w:t>例</w:t>
      </w:r>
      <w:r>
        <w:rPr>
          <w:rFonts w:ascii="Times New Roman" w:eastAsia="宋体" w:hAnsi="Times New Roman" w:hint="eastAsia"/>
          <w:color w:val="auto"/>
          <w:sz w:val="24"/>
          <w:highlight w:val="none"/>
        </w:rPr>
        <w:t>》等法律法规的基本要求，是落实宽带广西战略行动计划和构建下一代信息基础设施的重要基础，是全面推进信息化建设和促进信息消费的重要保障，是我区经济社会深入推进“互联网+”行动的客观需求。也是提升城市服务功能和提高城镇化发展质量的重要条件。各地住建、自然资源主管部门、通信行业主管部门、各电信企业和铁塔公司等要充分认识通信基础设施规划工作的重要意义，积极适应新常态、新趋势、新要求，抓紧编制和完善普通通信基础设施专项规划，加强通信基础设施规划管理，统筹安排和布局各类通信基础设施，不断提升通信网络覆盖能力、水平和质量，依法保障通信基础设施的规范建设和安全运行。</w:t>
      </w:r>
    </w:p>
    <w:p>
      <w:pPr>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当前我国经济发展步入新常态，信息通信业在培育新动能、拓展新空间中的地位和作用不断凸显。5G作为“新型基础设施建设”，已然成为经济社会发展的新动力。为正确引导通信基础设施的合理布局，依法保障通信基础设施的规范建设和安全运行，促进通信事业蓬勃发展，依据自治区通信管理局《关于5G基站站址规划编制和企业编制5G建设计划专题会会议纪要》（桂通管〔2020〕32号）要求，开展玉林市5G通信基础设施规划。本规划基于玉林市的各大基础电信企业网络现状，按照“公平、节约、共享、和谐”的原则，提出了玉林市5G室外站、室分站点、重点机房、传输管道、光交节点、传输杆路、动力配套的建设布局规划，是指导玉林市5G基础设施建设发展的重要依据。</w:t>
      </w:r>
    </w:p>
    <w:p>
      <w:pPr>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随着5G商用步伐加快，上一版“城乡通信基础设施专项规划”已经不能满足5G网络建设需求，有必要进行修编和完善。修编后的“通信基础设施专项规划”应满足基础电信企业网络发展需要特别是5G网络覆盖需求，同时将通信基础设施专项规划纳入国土空间详细规划、城乡住房建设控制性详细规划。</w:t>
      </w:r>
    </w:p>
    <w:p>
      <w:pPr>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为进一步指导各区县做好通信基础设施专项规划工作，特制定本规划。规划应以</w:t>
      </w:r>
      <w:r>
        <w:rPr>
          <w:rFonts w:ascii="Times New Roman" w:eastAsia="宋体" w:hAnsi="Times New Roman" w:cs="宋体"/>
          <w:color w:val="auto"/>
          <w:sz w:val="24"/>
          <w:szCs w:val="24"/>
          <w:highlight w:val="none"/>
        </w:rPr>
        <w:t>国土空间规划</w:t>
      </w:r>
      <w:r>
        <w:rPr>
          <w:rFonts w:ascii="Times New Roman" w:eastAsia="宋体" w:hAnsi="Times New Roman" w:hint="eastAsia"/>
          <w:color w:val="auto"/>
          <w:sz w:val="24"/>
          <w:highlight w:val="none"/>
        </w:rPr>
        <w:t>、通信行业发展规划和有关标准规范为依据，科学预测应以</w:t>
      </w:r>
      <w:r>
        <w:rPr>
          <w:rFonts w:ascii="Times New Roman" w:eastAsia="宋体" w:hAnsi="Times New Roman" w:cs="宋体"/>
          <w:color w:val="auto"/>
          <w:sz w:val="24"/>
          <w:szCs w:val="24"/>
          <w:highlight w:val="none"/>
        </w:rPr>
        <w:t>国土空间规划</w:t>
      </w:r>
      <w:r>
        <w:rPr>
          <w:rFonts w:ascii="Times New Roman" w:eastAsia="宋体" w:hAnsi="Times New Roman" w:hint="eastAsia"/>
          <w:color w:val="auto"/>
          <w:sz w:val="24"/>
          <w:highlight w:val="none"/>
        </w:rPr>
        <w:t>、通信行业发展规划和有关标准规范为依据，科学预测各类通信用户规模、并根据城市发展布局、人口分布和信息化发展规划等，统筹各类通信基站、局房、管线、光节点建设和建设时序，充分考虑与地下综合管廊的衔接，合理布局。</w:t>
      </w:r>
    </w:p>
    <w:p>
      <w:pPr>
        <w:pStyle w:val="Heading3"/>
        <w:adjustRightInd w:val="0"/>
        <w:snapToGrid w:val="0"/>
        <w:spacing w:line="240" w:lineRule="auto"/>
        <w:ind w:left="0" w:firstLine="482"/>
        <w:rPr>
          <w:rFonts w:ascii="Times New Roman" w:eastAsia="宋体" w:hAnsi="Times New Roman" w:cstheme="majorEastAsia"/>
          <w:color w:val="auto"/>
          <w:sz w:val="24"/>
          <w:szCs w:val="24"/>
          <w:highlight w:val="none"/>
        </w:rPr>
      </w:pPr>
      <w:bookmarkStart w:id="4" w:name="_Toc23104"/>
      <w:r>
        <w:rPr>
          <w:rFonts w:ascii="Times New Roman" w:eastAsia="宋体" w:hAnsi="Times New Roman" w:cstheme="majorEastAsia" w:hint="eastAsia"/>
          <w:color w:val="auto"/>
          <w:sz w:val="24"/>
          <w:szCs w:val="24"/>
          <w:highlight w:val="none"/>
        </w:rPr>
        <w:t>二、规划范围与</w:t>
      </w:r>
      <w:r>
        <w:rPr>
          <w:rFonts w:ascii="Times New Roman" w:eastAsia="宋体" w:hAnsi="Times New Roman" w:cstheme="majorEastAsia"/>
          <w:color w:val="auto"/>
          <w:sz w:val="24"/>
          <w:szCs w:val="24"/>
          <w:highlight w:val="none"/>
        </w:rPr>
        <w:t>年限</w:t>
      </w:r>
      <w:bookmarkEnd w:id="4"/>
    </w:p>
    <w:p>
      <w:pPr>
        <w:spacing w:line="240" w:lineRule="auto"/>
        <w:ind w:left="0" w:firstLine="480"/>
        <w:rPr>
          <w:rFonts w:ascii="Times New Roman" w:eastAsia="宋体" w:hAnsi="Times New Roman" w:hint="eastAsia"/>
          <w:color w:val="auto"/>
          <w:sz w:val="24"/>
          <w:highlight w:val="none"/>
          <w:lang w:eastAsia="zh-CN"/>
        </w:rPr>
      </w:pPr>
      <w:r>
        <w:rPr>
          <w:rFonts w:ascii="Times New Roman" w:eastAsia="宋体" w:hAnsi="Times New Roman" w:hint="eastAsia"/>
          <w:color w:val="auto"/>
          <w:sz w:val="24"/>
          <w:highlight w:val="none"/>
        </w:rPr>
        <w:t>本次规划研究范围涵盖玉林市市区、县城、乡镇、农村、高速公路、高速铁路等，涉及5G室外站、5G室分站点、重点机房、传输管道、光交节点、传输杆路、电源等专业领域的规划内容，包括玉州区、福绵区、北流市、博白县、容县、陆川县、兴业县，市域国土总面积12824.25平方公里</w:t>
      </w:r>
      <w:r>
        <w:rPr>
          <w:rFonts w:ascii="Times New Roman" w:eastAsia="宋体" w:hAnsi="Times New Roman" w:hint="eastAsia"/>
          <w:color w:val="auto"/>
          <w:sz w:val="24"/>
          <w:highlight w:val="none"/>
          <w:lang w:eastAsia="zh-CN"/>
        </w:rPr>
        <w:t>。</w:t>
      </w:r>
    </w:p>
    <w:p>
      <w:pPr>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rPr>
        <w:t>其中玉林市中心城区、各县、各工业园区及开发区的总体规划、控制性详细规划所确定的规划范围为本次规划的重点区域：主要为《玉林市国土空间总体规划（2021-2035年）》、《广西公路网规划（</w:t>
      </w:r>
      <w:r>
        <w:rPr>
          <w:rFonts w:ascii="Times New Roman" w:eastAsia="宋体" w:hAnsi="Times New Roman"/>
          <w:color w:val="auto"/>
          <w:sz w:val="24"/>
          <w:highlight w:val="none"/>
        </w:rPr>
        <w:t>2018</w:t>
      </w:r>
      <w:r>
        <w:rPr>
          <w:rFonts w:ascii="Times New Roman" w:eastAsia="宋体" w:hAnsi="Times New Roman" w:hint="eastAsia"/>
          <w:color w:val="auto"/>
          <w:sz w:val="24"/>
          <w:highlight w:val="none"/>
        </w:rPr>
        <w:t>-20</w:t>
      </w:r>
      <w:r>
        <w:rPr>
          <w:rFonts w:ascii="Times New Roman" w:eastAsia="宋体" w:hAnsi="Times New Roman"/>
          <w:color w:val="auto"/>
          <w:sz w:val="24"/>
          <w:highlight w:val="none"/>
        </w:rPr>
        <w:t>30</w:t>
      </w:r>
      <w:r>
        <w:rPr>
          <w:rFonts w:ascii="Times New Roman" w:eastAsia="宋体" w:hAnsi="Times New Roman" w:hint="eastAsia"/>
          <w:color w:val="auto"/>
          <w:sz w:val="24"/>
          <w:highlight w:val="none"/>
        </w:rPr>
        <w:t>）》所确定的规划范围，规划范围包括城镇开发边界覆盖的城市街道、乡镇范围以及包括高铁新城、广西先进装备制造城规划用地范围在内的重点发展地区，总面积677.70平方公里。</w:t>
      </w:r>
    </w:p>
    <w:p>
      <w:pPr>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规划期限为</w:t>
      </w:r>
      <w:r>
        <w:rPr>
          <w:rFonts w:ascii="Times New Roman" w:eastAsia="宋体" w:hAnsi="Times New Roman" w:hint="eastAsia"/>
          <w:color w:val="auto"/>
          <w:sz w:val="24"/>
          <w:highlight w:val="none"/>
          <w:lang w:eastAsia="zh-CN"/>
        </w:rPr>
        <w:t>2021</w:t>
      </w:r>
      <w:r>
        <w:rPr>
          <w:rFonts w:ascii="Times New Roman" w:eastAsia="宋体" w:hAnsi="Times New Roman" w:hint="eastAsia"/>
          <w:color w:val="auto"/>
          <w:sz w:val="24"/>
          <w:highlight w:val="none"/>
        </w:rPr>
        <w:t>-2035年。</w:t>
      </w:r>
    </w:p>
    <w:p>
      <w:pPr>
        <w:pStyle w:val="Heading3"/>
        <w:spacing w:line="240" w:lineRule="auto"/>
        <w:ind w:left="0" w:firstLine="482"/>
        <w:rPr>
          <w:rFonts w:ascii="Times New Roman" w:eastAsia="宋体" w:hAnsi="Times New Roman" w:cstheme="majorEastAsia"/>
          <w:color w:val="auto"/>
          <w:sz w:val="24"/>
          <w:szCs w:val="24"/>
          <w:highlight w:val="none"/>
        </w:rPr>
      </w:pPr>
      <w:bookmarkStart w:id="5" w:name="_Toc13384"/>
      <w:r>
        <w:rPr>
          <w:rFonts w:ascii="Times New Roman" w:eastAsia="宋体" w:hAnsi="Times New Roman" w:cstheme="majorEastAsia" w:hint="eastAsia"/>
          <w:color w:val="auto"/>
          <w:sz w:val="24"/>
          <w:szCs w:val="24"/>
          <w:highlight w:val="none"/>
        </w:rPr>
        <w:t>三、规划依据</w:t>
      </w:r>
      <w:bookmarkEnd w:id="5"/>
    </w:p>
    <w:p>
      <w:pPr>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（一）法律、法规、规范、标准</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rPr>
        <w:t>《中华人民共和国城乡规划法》</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2019年修改</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rPr>
        <w:t>《中华人民共和国环境保护法》</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2014年修订</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rPr>
        <w:t>《中华人民共和国电信条例》（2016年修订）；</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rPr>
        <w:t>《中华人民共和国无线电管理条例》（2016年修订））；</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rPr>
        <w:t>《广西壮族自治区电信设施建设与保护条例》（2018年修订）；</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rPr>
        <w:t>《城市规划编制办法》（2006年）；</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rPr>
        <w:t>《城市用地分类与规划建设用地标准》（GB 50137-2011）；</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rPr>
        <w:t>《通信线路工程设计规范》（GB 51158-2015）；</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rPr>
        <w:t>《城市工程管线综合规划规范》</w:t>
      </w:r>
      <w:r>
        <w:rPr>
          <w:rFonts w:ascii="Times New Roman" w:eastAsia="宋体" w:hAnsi="Times New Roman"/>
          <w:color w:val="auto"/>
          <w:sz w:val="24"/>
          <w:highlight w:val="none"/>
        </w:rPr>
        <w:t>(GB50289-2016)</w:t>
      </w:r>
      <w:r>
        <w:rPr>
          <w:rFonts w:ascii="Times New Roman" w:eastAsia="宋体" w:hAnsi="Times New Roman" w:hint="eastAsia"/>
          <w:color w:val="auto"/>
          <w:sz w:val="24"/>
          <w:highlight w:val="none"/>
        </w:rPr>
        <w:t>；</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rPr>
        <w:t>《架空光</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电</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缆通信杆路工程设计规范》（GB/T 51421-2020）；</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rPr>
        <w:t>《城市有线广播电视网络设计规范（附条文说明）》（GY 5075-2005）；</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rPr>
        <w:t>《城市通信工程规划规范》（GBT50853-2013）；</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rPr>
        <w:t>《城市通信工程规划规范》（GB/T 50853-2013）；</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rPr>
        <w:t>《电磁辐射环境保护管理办法》（国家环保局令第</w:t>
      </w:r>
      <w:r>
        <w:rPr>
          <w:rFonts w:ascii="Times New Roman" w:eastAsia="宋体" w:hAnsi="Times New Roman"/>
          <w:color w:val="auto"/>
          <w:sz w:val="24"/>
          <w:highlight w:val="none"/>
        </w:rPr>
        <w:t>18</w:t>
      </w:r>
      <w:r>
        <w:rPr>
          <w:rFonts w:ascii="Times New Roman" w:eastAsia="宋体" w:hAnsi="Times New Roman" w:hint="eastAsia"/>
          <w:color w:val="auto"/>
          <w:sz w:val="24"/>
          <w:highlight w:val="none"/>
        </w:rPr>
        <w:t>号）；</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rPr>
        <w:t>《电磁环境控制限值》（GB8702-2014）；</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rPr>
        <w:t>《通信局（站）防雷与接地工程设计规范》</w:t>
      </w:r>
      <w:r>
        <w:rPr>
          <w:rFonts w:ascii="Times New Roman" w:eastAsia="宋体" w:hAnsi="Times New Roman" w:hint="eastAsia"/>
          <w:color w:val="auto"/>
          <w:sz w:val="24"/>
          <w:highlight w:val="none"/>
          <w:lang w:eastAsia="zh-CN"/>
        </w:rPr>
        <w:t>；</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rPr>
        <w:t>《数字蜂窝移动通信网5G无线网工程技术规范》（YD/T 5264-2021）；</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rPr>
        <w:t>《5G数字蜂窝移动通信网 无线接入网总体技术要求</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第一阶段）》（YD/T 3618-2019YD/T 3618-2019）；</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rPr>
        <w:t>《通信管道与通道工程设计标准》（GB 50373-2019）；</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lang w:eastAsia="zh-CN"/>
        </w:rPr>
        <w:t>《5G数字化室内分布系统技术要求》（YD/T 4009-2022）；</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lang w:eastAsia="zh-CN"/>
        </w:rPr>
        <w:t>《数字蜂窝移动通信网5G无线网工程技术规范》（YD/T 5264-2021）；</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rPr>
        <w:t>《通信局站共建共享技术规范》（GB/T 51125-2015）；</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rPr>
        <w:t>《移动通信室内覆盖系统工程设计规范》（YD/T</w:t>
      </w:r>
      <w:r>
        <w:rPr>
          <w:rFonts w:ascii="Times New Roman" w:eastAsia="宋体" w:hAnsi="Times New Roman"/>
          <w:color w:val="auto"/>
          <w:sz w:val="24"/>
          <w:highlight w:val="none"/>
        </w:rPr>
        <w:t xml:space="preserve"> </w:t>
      </w:r>
      <w:r>
        <w:rPr>
          <w:rFonts w:ascii="Times New Roman" w:eastAsia="宋体" w:hAnsi="Times New Roman" w:hint="eastAsia"/>
          <w:color w:val="auto"/>
          <w:sz w:val="24"/>
          <w:highlight w:val="none"/>
        </w:rPr>
        <w:t>5120-2015）；</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rPr>
        <w:t>《移动通信室内覆盖系统工程验收规范》（YD/T5160-2015）；</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rPr>
        <w:t>《移动通信室内覆盖系统工程技术标准》（GB</w:t>
      </w:r>
      <w:r>
        <w:rPr>
          <w:rFonts w:ascii="Times New Roman" w:eastAsia="宋体" w:hAnsi="Times New Roman"/>
          <w:color w:val="auto"/>
          <w:sz w:val="24"/>
          <w:highlight w:val="none"/>
        </w:rPr>
        <w:t>/</w:t>
      </w:r>
      <w:r>
        <w:rPr>
          <w:rFonts w:ascii="Times New Roman" w:eastAsia="宋体" w:hAnsi="Times New Roman" w:hint="eastAsia"/>
          <w:color w:val="auto"/>
          <w:sz w:val="24"/>
          <w:highlight w:val="none"/>
        </w:rPr>
        <w:t>T</w:t>
      </w:r>
      <w:r>
        <w:rPr>
          <w:rFonts w:ascii="Times New Roman" w:eastAsia="宋体" w:hAnsi="Times New Roman"/>
          <w:color w:val="auto"/>
          <w:sz w:val="24"/>
          <w:highlight w:val="none"/>
        </w:rPr>
        <w:t xml:space="preserve"> </w:t>
      </w:r>
      <w:r>
        <w:rPr>
          <w:rFonts w:ascii="Times New Roman" w:eastAsia="宋体" w:hAnsi="Times New Roman" w:hint="eastAsia"/>
          <w:color w:val="auto"/>
          <w:sz w:val="24"/>
          <w:highlight w:val="none"/>
        </w:rPr>
        <w:t>51292-2018）；</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rPr>
        <w:t>《住宅区和住宅建筑通信设施技术标准》（DB34/T917-2020）；</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rPr>
        <w:t>《建筑物移动通信基础设施工程技术标准》</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GB51456-2023</w:t>
      </w:r>
      <w:r>
        <w:rPr>
          <w:rFonts w:ascii="Times New Roman" w:eastAsia="宋体" w:hAnsi="Times New Roman" w:hint="eastAsia"/>
          <w:color w:val="auto"/>
          <w:sz w:val="24"/>
          <w:highlight w:val="none"/>
          <w:lang w:eastAsia="zh-CN"/>
        </w:rPr>
        <w:t>）；</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rPr>
        <w:t>《通信工程建设环境保护技术标准》（GB/T 51391-2019）；</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通信机房防火封堵安全技术要求</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（YD/T 2199-2010）；</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lang w:eastAsia="zh-CN"/>
        </w:rPr>
        <w:t>《建筑设计防火规范》</w:t>
      </w:r>
      <w:r>
        <w:rPr>
          <w:rFonts w:ascii="Times New Roman" w:eastAsia="宋体" w:hAnsi="Times New Roman" w:hint="eastAsia"/>
          <w:color w:val="auto"/>
          <w:sz w:val="24"/>
          <w:highlight w:val="none"/>
        </w:rPr>
        <w:t>（GB 50016 - 2014）</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lang w:val="en-US" w:eastAsia="zh-CN"/>
        </w:rPr>
        <w:t>2018年版</w:t>
      </w:r>
      <w:r>
        <w:rPr>
          <w:rFonts w:ascii="Times New Roman" w:eastAsia="宋体" w:hAnsi="Times New Roman" w:hint="eastAsia"/>
          <w:color w:val="auto"/>
          <w:sz w:val="24"/>
          <w:highlight w:val="none"/>
          <w:lang w:eastAsia="zh-CN"/>
        </w:rPr>
        <w:t>）；</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lang w:val="en-US" w:eastAsia="zh-CN"/>
        </w:rPr>
        <w:t>建筑防火通用规范</w:t>
      </w:r>
      <w:r>
        <w:rPr>
          <w:rFonts w:ascii="Times New Roman" w:eastAsia="宋体" w:hAnsi="Times New Roman" w:hint="eastAsia"/>
          <w:color w:val="auto"/>
          <w:sz w:val="24"/>
          <w:highlight w:val="none"/>
          <w:lang w:eastAsia="zh-CN"/>
        </w:rPr>
        <w:t xml:space="preserve">》（GB </w:t>
      </w:r>
      <w:r>
        <w:rPr>
          <w:rFonts w:ascii="Times New Roman" w:eastAsia="宋体" w:hAnsi="Times New Roman" w:hint="eastAsia"/>
          <w:color w:val="auto"/>
          <w:sz w:val="24"/>
          <w:highlight w:val="none"/>
          <w:lang w:val="en-US" w:eastAsia="zh-CN"/>
        </w:rPr>
        <w:t>55037</w:t>
      </w:r>
      <w:r>
        <w:rPr>
          <w:rFonts w:ascii="Times New Roman" w:eastAsia="宋体" w:hAnsi="Times New Roman" w:hint="eastAsia"/>
          <w:color w:val="auto"/>
          <w:sz w:val="24"/>
          <w:highlight w:val="none"/>
          <w:lang w:eastAsia="zh-CN"/>
        </w:rPr>
        <w:t xml:space="preserve"> - </w:t>
      </w:r>
      <w:r>
        <w:rPr>
          <w:rFonts w:ascii="Times New Roman" w:eastAsia="宋体" w:hAnsi="Times New Roman" w:hint="eastAsia"/>
          <w:color w:val="auto"/>
          <w:sz w:val="24"/>
          <w:highlight w:val="none"/>
          <w:lang w:val="en-US" w:eastAsia="zh-CN"/>
        </w:rPr>
        <w:t>2022</w:t>
      </w:r>
      <w:r>
        <w:rPr>
          <w:rFonts w:ascii="Times New Roman" w:eastAsia="宋体" w:hAnsi="Times New Roman" w:hint="eastAsia"/>
          <w:color w:val="auto"/>
          <w:sz w:val="24"/>
          <w:highlight w:val="none"/>
          <w:lang w:eastAsia="zh-CN"/>
        </w:rPr>
        <w:t>）；</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rPr>
        <w:t>《建筑物通信基础设施建设规范一第1部分</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总则》(DB45/T 2316.1-2021)</w:t>
      </w:r>
      <w:r>
        <w:rPr>
          <w:rFonts w:ascii="Times New Roman" w:eastAsia="宋体" w:hAnsi="Times New Roman" w:hint="eastAsia"/>
          <w:color w:val="auto"/>
          <w:sz w:val="24"/>
          <w:highlight w:val="none"/>
          <w:lang w:eastAsia="zh-CN"/>
        </w:rPr>
        <w:t>；</w:t>
      </w:r>
    </w:p>
    <w:p>
      <w:pPr>
        <w:pStyle w:val="ListParagraph"/>
        <w:spacing w:line="240" w:lineRule="auto"/>
        <w:ind w:left="420" w:firstLine="0" w:leftChars="200" w:firstLineChars="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rPr>
        <w:t>（二）相关政策、规划</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rPr>
        <w:t>《国家信息化发展战略纲要》（中共中央办公厅、国务院办公厅2016年7月）；</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rPr>
        <w:t>《数字乡村发展战略纲要》（中共中央办公厅、国务院办公厅2019年5月）</w:t>
      </w:r>
      <w:r>
        <w:rPr>
          <w:rFonts w:ascii="Times New Roman" w:eastAsia="宋体" w:hAnsi="Times New Roman" w:hint="eastAsia"/>
          <w:color w:val="auto"/>
          <w:sz w:val="24"/>
          <w:highlight w:val="none"/>
          <w:lang w:eastAsia="zh-CN"/>
        </w:rPr>
        <w:t>；</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rPr>
        <w:t>《关于推进电信基础设施共建共享的紧急通知》（</w:t>
      </w:r>
      <w:r>
        <w:rPr>
          <w:rFonts w:ascii="Times New Roman" w:eastAsia="宋体" w:hAnsi="Times New Roman"/>
          <w:color w:val="auto"/>
          <w:sz w:val="24"/>
          <w:highlight w:val="none"/>
        </w:rPr>
        <w:t>工信部联通</w:t>
      </w:r>
      <w:r>
        <w:rPr>
          <w:rFonts w:ascii="Times New Roman" w:eastAsia="宋体" w:hAnsi="Times New Roman" w:hint="eastAsia"/>
          <w:color w:val="auto"/>
          <w:sz w:val="24"/>
          <w:highlight w:val="none"/>
        </w:rPr>
        <w:t>[2008]</w:t>
      </w:r>
      <w:r>
        <w:rPr>
          <w:rFonts w:ascii="Times New Roman" w:eastAsia="宋体" w:hAnsi="Times New Roman"/>
          <w:color w:val="auto"/>
          <w:sz w:val="24"/>
          <w:highlight w:val="none"/>
        </w:rPr>
        <w:t>235号</w:t>
      </w:r>
      <w:r>
        <w:rPr>
          <w:rFonts w:ascii="Times New Roman" w:eastAsia="宋体" w:hAnsi="Times New Roman" w:hint="eastAsia"/>
          <w:color w:val="auto"/>
          <w:sz w:val="24"/>
          <w:highlight w:val="none"/>
        </w:rPr>
        <w:t>）；</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rPr>
        <w:t>《无线站址规划技术指导意见》（中国铁塔股份有限公司2015年6月）；</w:t>
      </w:r>
    </w:p>
    <w:p>
      <w:pPr>
        <w:pStyle w:val="ListParagraph"/>
        <w:numPr>
          <w:ilvl w:val="0"/>
          <w:numId w:val="3"/>
        </w:numPr>
        <w:spacing w:line="240" w:lineRule="auto"/>
        <w:ind w:left="0" w:firstLine="480"/>
        <w:jc w:val="left"/>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rPr>
        <w:t>《关于2011年推进电信基础设施共建共享的实施意见》（工信部2011年）；</w:t>
      </w:r>
    </w:p>
    <w:p>
      <w:pPr>
        <w:pStyle w:val="ListParagraph"/>
        <w:numPr>
          <w:ilvl w:val="0"/>
          <w:numId w:val="3"/>
        </w:numPr>
        <w:spacing w:line="240" w:lineRule="auto"/>
        <w:ind w:left="0" w:firstLine="480"/>
        <w:jc w:val="left"/>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rPr>
        <w:t>《工业和信息化部关于推动5G加快发展的通知》；</w:t>
      </w:r>
    </w:p>
    <w:p>
      <w:pPr>
        <w:pStyle w:val="ListParagraph"/>
        <w:numPr>
          <w:ilvl w:val="0"/>
          <w:numId w:val="3"/>
        </w:numPr>
        <w:spacing w:line="240" w:lineRule="auto"/>
        <w:ind w:left="0" w:firstLine="480"/>
        <w:jc w:val="left"/>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rPr>
        <w:t>《中共中央关于制定国民经济和社会发展第十四个五年规划和二〇三五年远景目标的建议》；</w:t>
      </w:r>
    </w:p>
    <w:p>
      <w:pPr>
        <w:pStyle w:val="ListParagraph"/>
        <w:numPr>
          <w:ilvl w:val="0"/>
          <w:numId w:val="3"/>
        </w:numPr>
        <w:spacing w:line="240" w:lineRule="auto"/>
        <w:ind w:left="0" w:firstLine="480"/>
        <w:jc w:val="left"/>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rPr>
        <w:t>《5G发展前景及政策导向》</w:t>
      </w:r>
    </w:p>
    <w:p>
      <w:pPr>
        <w:pStyle w:val="ListParagraph"/>
        <w:numPr>
          <w:ilvl w:val="0"/>
          <w:numId w:val="3"/>
        </w:numPr>
        <w:spacing w:line="240" w:lineRule="auto"/>
        <w:ind w:left="0" w:firstLine="480"/>
        <w:jc w:val="left"/>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rPr>
        <w:t>《5G经济社会影响白皮书》</w:t>
      </w:r>
    </w:p>
    <w:p>
      <w:pPr>
        <w:pStyle w:val="ListParagraph"/>
        <w:numPr>
          <w:ilvl w:val="0"/>
          <w:numId w:val="3"/>
        </w:numPr>
        <w:spacing w:line="240" w:lineRule="auto"/>
        <w:ind w:left="0" w:firstLine="480"/>
        <w:jc w:val="left"/>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rPr>
        <w:t>《关于推进电信基础设施共建共享 支撑5G网络加快建设发展的实施意见》（工信部联通信[2020]78号）；</w:t>
      </w:r>
    </w:p>
    <w:p>
      <w:pPr>
        <w:pStyle w:val="ListParagraph"/>
        <w:numPr>
          <w:ilvl w:val="0"/>
          <w:numId w:val="3"/>
        </w:numPr>
        <w:spacing w:line="240" w:lineRule="auto"/>
        <w:ind w:left="0" w:firstLine="480"/>
        <w:jc w:val="left"/>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rPr>
        <w:t>《关于加强城市通信基础设施规划的通知》（建规[2015]132号）；</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rPr>
        <w:t>《广西城市通信基础设施规划编制协商会议纪要》（桂通管通[2015]56号）；</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rPr>
        <w:t>《关于加强广西通信基础设施规划工作的通知》（桂建规园[2016]23号）；</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rPr>
        <w:t>《2015年电信设施共建共享及基站设施开放共享协调会议纪要》（桂通管通[2015]27</w:t>
      </w:r>
      <w:r>
        <w:rPr>
          <w:rFonts w:ascii="Times New Roman" w:eastAsia="宋体" w:hAnsi="Times New Roman"/>
          <w:color w:val="auto"/>
          <w:sz w:val="24"/>
          <w:highlight w:val="none"/>
        </w:rPr>
        <w:t>号</w:t>
      </w:r>
      <w:r>
        <w:rPr>
          <w:rFonts w:ascii="Times New Roman" w:eastAsia="宋体" w:hAnsi="Times New Roman" w:hint="eastAsia"/>
          <w:color w:val="auto"/>
          <w:sz w:val="24"/>
          <w:highlight w:val="none"/>
        </w:rPr>
        <w:t xml:space="preserve">）； </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rPr>
        <w:t>《关于5G基站站址规划编制和企业编制5G建设计划专题会会议纪要》（桂通管〔2020〕32号）；</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rPr>
        <w:t>《广西加快5G产业发展行动计划（2019-2021年）的通知》</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桂数广发〔2019〕4号</w:t>
      </w:r>
      <w:r>
        <w:rPr>
          <w:rFonts w:ascii="Times New Roman" w:eastAsia="宋体" w:hAnsi="Times New Roman" w:hint="eastAsia"/>
          <w:color w:val="auto"/>
          <w:sz w:val="24"/>
          <w:highlight w:val="none"/>
          <w:lang w:eastAsia="zh-CN"/>
        </w:rPr>
        <w:t>）；</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rPr>
        <w:t>《关于推进电信基础设施共建共享支撑5G网络加快建设发展的实施意见》（工信部联通信〔2020〕 78 号）</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rPr>
        <w:t>《广西新型基础设施建设发展规划（202</w:t>
      </w:r>
      <w:r>
        <w:rPr>
          <w:rFonts w:ascii="Times New Roman" w:eastAsia="宋体" w:hAnsi="Times New Roman"/>
          <w:color w:val="auto"/>
          <w:sz w:val="24"/>
          <w:highlight w:val="none"/>
        </w:rPr>
        <w:t>0</w:t>
      </w:r>
      <w:r>
        <w:rPr>
          <w:rFonts w:ascii="Times New Roman" w:eastAsia="宋体" w:hAnsi="Times New Roman" w:hint="eastAsia"/>
          <w:color w:val="auto"/>
          <w:sz w:val="24"/>
          <w:highlight w:val="none"/>
        </w:rPr>
        <w:t>-2025年）送审稿》</w:t>
      </w:r>
      <w:r>
        <w:rPr>
          <w:rFonts w:ascii="Times New Roman" w:eastAsia="宋体" w:hAnsi="Times New Roman" w:hint="eastAsia"/>
          <w:color w:val="auto"/>
          <w:sz w:val="24"/>
          <w:highlight w:val="none"/>
          <w:lang w:eastAsia="zh-CN"/>
        </w:rPr>
        <w:t>；</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rPr>
        <w:t>《中国—东盟信息港算力网络建设行动计划（2022-2025年）》</w:t>
      </w:r>
      <w:r>
        <w:rPr>
          <w:rFonts w:ascii="Times New Roman" w:eastAsia="宋体" w:hAnsi="Times New Roman" w:hint="eastAsia"/>
          <w:color w:val="auto"/>
          <w:sz w:val="24"/>
          <w:highlight w:val="none"/>
          <w:lang w:eastAsia="zh-CN"/>
        </w:rPr>
        <w:t>（桂通管通〔2023〕10号）；</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rPr>
        <w:t>《广西5G应用“扬帆”行动计划（2022-2024年）》</w:t>
      </w:r>
      <w:r>
        <w:rPr>
          <w:rFonts w:ascii="Times New Roman" w:eastAsia="宋体" w:hAnsi="Times New Roman" w:hint="eastAsia"/>
          <w:color w:val="auto"/>
          <w:sz w:val="24"/>
          <w:highlight w:val="none"/>
          <w:lang w:eastAsia="zh-CN"/>
        </w:rPr>
        <w:t>（桂通管通〔2022〕45号）；</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rPr>
        <w:t>《玉林市国土空间总体规划（2021-2035年）》；</w:t>
      </w:r>
    </w:p>
    <w:p>
      <w:pPr>
        <w:pStyle w:val="ListParagraph"/>
        <w:numPr>
          <w:ilvl w:val="0"/>
          <w:numId w:val="3"/>
        </w:numPr>
        <w:spacing w:line="240" w:lineRule="auto"/>
        <w:ind w:left="0" w:firstLine="480"/>
        <w:jc w:val="left"/>
        <w:rPr>
          <w:rFonts w:ascii="Times New Roman" w:eastAsia="宋体" w:hAnsi="Times New Roman"/>
          <w:color w:val="auto"/>
          <w:sz w:val="24"/>
          <w:highlight w:val="none"/>
        </w:rPr>
      </w:pPr>
      <w:r>
        <w:rPr>
          <w:rFonts w:ascii="Times New Roman" w:eastAsia="宋体" w:hAnsi="Times New Roman" w:hint="eastAsia"/>
          <w:color w:val="auto"/>
          <w:sz w:val="24"/>
          <w:highlight w:val="none"/>
        </w:rPr>
        <w:t>《玉林</w:t>
      </w:r>
      <w:r>
        <w:rPr>
          <w:rFonts w:ascii="Times New Roman" w:eastAsia="宋体" w:hAnsi="Times New Roman"/>
          <w:color w:val="auto"/>
          <w:sz w:val="24"/>
          <w:highlight w:val="none"/>
        </w:rPr>
        <w:t>市国民经济和社会发展第十</w:t>
      </w:r>
      <w:r>
        <w:rPr>
          <w:rFonts w:ascii="Times New Roman" w:eastAsia="宋体" w:hAnsi="Times New Roman" w:hint="eastAsia"/>
          <w:color w:val="auto"/>
          <w:sz w:val="24"/>
          <w:highlight w:val="none"/>
        </w:rPr>
        <w:t>四</w:t>
      </w:r>
      <w:r>
        <w:rPr>
          <w:rFonts w:ascii="Times New Roman" w:eastAsia="宋体" w:hAnsi="Times New Roman"/>
          <w:color w:val="auto"/>
          <w:sz w:val="24"/>
          <w:highlight w:val="none"/>
        </w:rPr>
        <w:t>个五年规划纲要</w:t>
      </w:r>
      <w:r>
        <w:rPr>
          <w:rFonts w:ascii="Times New Roman" w:eastAsia="宋体" w:hAnsi="Times New Roman" w:hint="eastAsia"/>
          <w:color w:val="auto"/>
          <w:sz w:val="24"/>
          <w:highlight w:val="none"/>
        </w:rPr>
        <w:t>》</w:t>
      </w:r>
      <w:r>
        <w:rPr>
          <w:rFonts w:ascii="Times New Roman" w:eastAsia="宋体" w:hAnsi="Times New Roman" w:hint="eastAsia"/>
          <w:color w:val="auto"/>
          <w:sz w:val="24"/>
          <w:highlight w:val="none"/>
          <w:lang w:eastAsia="zh-CN"/>
        </w:rPr>
        <w:t>。</w:t>
      </w:r>
    </w:p>
    <w:p>
      <w:pPr>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（三）有关文件</w:t>
      </w:r>
    </w:p>
    <w:p>
      <w:pPr>
        <w:spacing w:line="240" w:lineRule="auto"/>
        <w:ind w:left="0" w:firstLine="480"/>
        <w:rPr>
          <w:rFonts w:ascii="Times New Roman" w:eastAsia="宋体" w:hAnsi="Times New Roman"/>
          <w:color w:val="auto"/>
          <w:sz w:val="24"/>
          <w:highlight w:val="none"/>
        </w:rPr>
      </w:pPr>
      <w:r>
        <w:rPr>
          <w:rFonts w:ascii="Times New Roman" w:eastAsia="宋体" w:hAnsi="Times New Roman"/>
          <w:color w:val="auto"/>
          <w:sz w:val="24"/>
          <w:highlight w:val="none"/>
        </w:rPr>
        <w:t>规划范围地形电子文件及其他基础材料。</w:t>
      </w:r>
    </w:p>
    <w:p>
      <w:pPr>
        <w:pStyle w:val="Heading3"/>
        <w:spacing w:line="240" w:lineRule="auto"/>
        <w:ind w:left="0" w:firstLine="482"/>
        <w:rPr>
          <w:rFonts w:ascii="Times New Roman" w:eastAsia="宋体" w:hAnsi="Times New Roman" w:cstheme="majorEastAsia"/>
          <w:color w:val="auto"/>
          <w:sz w:val="24"/>
          <w:szCs w:val="24"/>
          <w:highlight w:val="none"/>
        </w:rPr>
      </w:pPr>
      <w:bookmarkStart w:id="6" w:name="_Toc18051"/>
      <w:r>
        <w:rPr>
          <w:rFonts w:ascii="Times New Roman" w:eastAsia="宋体" w:hAnsi="Times New Roman" w:cstheme="majorEastAsia" w:hint="eastAsia"/>
          <w:color w:val="auto"/>
          <w:sz w:val="24"/>
          <w:szCs w:val="24"/>
          <w:highlight w:val="none"/>
        </w:rPr>
        <w:t>四、规划目标</w:t>
      </w:r>
      <w:bookmarkEnd w:id="6"/>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按照“5G加速跑”的原则，统筹现网基站资源和新增基站需求，整合利用各类社会塔（杆）、公共区域、地面楼宇和地下站址资源，优化5G站址布局，积极推动5G网络建设，满足城市信息化建设需求。</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规划期内新建和改造5G基站站址</w:t>
      </w:r>
      <w:r>
        <w:rPr>
          <w:rFonts w:ascii="Times New Roman" w:eastAsia="宋体" w:hAnsi="Times New Roman" w:hint="eastAsia"/>
          <w:color w:val="auto"/>
          <w:sz w:val="24"/>
          <w:highlight w:val="none"/>
          <w:lang w:val="en-US" w:eastAsia="zh-CN"/>
        </w:rPr>
        <w:t>1.52</w:t>
      </w:r>
      <w:r>
        <w:rPr>
          <w:rFonts w:ascii="Times New Roman" w:eastAsia="宋体" w:hAnsi="Times New Roman" w:hint="eastAsia"/>
          <w:color w:val="auto"/>
          <w:sz w:val="24"/>
          <w:highlight w:val="none"/>
        </w:rPr>
        <w:t>万个，完成基站设备、传输管道、光交节点、传输杆路、重点机房、动力配套等基础设施建设。</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各运营商新建基站共享共建比例达到100%，逐年提高5G基站与城市照明灯杆、交通设施塔杆、天眼塔杆、广电塔杆、电力塔杆等市政设施的</w:t>
      </w:r>
      <w:r>
        <w:rPr>
          <w:rFonts w:ascii="Times New Roman" w:eastAsia="宋体" w:hAnsi="Times New Roman" w:hint="eastAsia"/>
          <w:color w:val="auto"/>
          <w:sz w:val="24"/>
          <w:highlight w:val="none"/>
          <w:lang w:val="en-US" w:eastAsia="zh-CN"/>
        </w:rPr>
        <w:t>共</w:t>
      </w:r>
      <w:r>
        <w:rPr>
          <w:rFonts w:ascii="Times New Roman" w:eastAsia="宋体" w:hAnsi="Times New Roman" w:hint="eastAsia"/>
          <w:color w:val="auto"/>
          <w:sz w:val="24"/>
          <w:highlight w:val="none"/>
        </w:rPr>
        <w:t>建共享比例，降低建设成本。形成泛在感知、万物互联、数据智能、绿色安全的新型信息基础设施，推动交通、能源、水利、文化、教育、医疗、旅游、金融等与数字技术深度融合，城市建设、社会治理体系的数字化、网络化、智能化水平大幅提升，新型基础设施成为全区经济高质量发展的重要支撑，数字产业成为经济增长的支柱产业。</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本次规划依托政府政策支持，立足现状，目标引领，深挖共享，形成具体的规划思路和方案，规模储备5G站址、机房、管道等通信资源。</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5G站址专项规划以存量站址为基础，立足基础电信企业网络发展策略和诉求，充分利用《玉林市通信基站专项规划》等现有规划成果，梳理存量站址和储备符合条件的新站址资源。</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统筹协调各基础电信企业5G网络建设目标和业务发展需求，并结合5G网络发展方向和技术演进路线，明确5G站址建设需求和预测规划期内5G站址储备规模，以及对应的机房、电源及传输资源需求，形成具有前瞻性、效益性、匹配性和景观性相结合的5G站址专项规划总体原则。</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1、前瞻性：以5G网络部署为指导，结合移动通信用户需求、</w:t>
      </w:r>
      <w:r>
        <w:rPr>
          <w:rFonts w:ascii="Times New Roman" w:eastAsia="宋体" w:hAnsi="Times New Roman" w:cs="宋体"/>
          <w:color w:val="auto"/>
          <w:sz w:val="24"/>
          <w:szCs w:val="24"/>
          <w:highlight w:val="none"/>
        </w:rPr>
        <w:t>国土空间规划</w:t>
      </w:r>
      <w:r>
        <w:rPr>
          <w:rFonts w:ascii="Times New Roman" w:eastAsia="宋体" w:hAnsi="Times New Roman" w:hint="eastAsia"/>
          <w:color w:val="auto"/>
          <w:sz w:val="24"/>
          <w:highlight w:val="none"/>
        </w:rPr>
        <w:t>以及城市信息化建设发展趋势，前瞻考虑移动通信网络总体布局以及基站建设需求，制定出移动通信基站升级改造的演进方案，并按计划分步实施。</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2、效益性：重视资源优化及其合理利用，充分发挥资源的效益，做好共建共享。</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3、匹配性：结合道路建设、公共绿地建设、旧城改造、新区规划等因素，与城市基础设施规划与建设相协调。</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4、景观性：基站建设应充分考虑对周边环境的影响，并符合城市景观等要求，基站选址优先依托建筑设置。</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本次5G站址专项规划要着力梳理存量站址资源，合理布局新增站址资源，同时，强化共享社会资源，扩大共建共享范围，进一步降低建设成本，不断提升共建共享效益，并根据国家、自治区、市政府相关文件要求，按照“整合资源、统一标准、政府主导、铁塔统筹、共建共享”原则和工作机制，推动5G网络规划及建设相关工作。</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1、将通信基站、传输管线等通信基础设施纳入城市规划是城乡规划法、电信条例的基本要求，是落实5G网络战略，构建下一代国家信息基础设施，全面推进信息化建设，促进信息消费的重要保障，是提升城市服务功能，提高城镇化发展质量的客观需要。</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2、为全面贯彻落实网络强国战略部署，深入推进5G网络战略，根据《广西壮族自治区人民政府办公厅关于支持移动通信基站建设的通知》（桂政办电〔2017〕238号）指示精神，明确要求各级人民政府要将移动通信基站建设纳入</w:t>
      </w:r>
      <w:r>
        <w:rPr>
          <w:rFonts w:ascii="Times New Roman" w:eastAsia="宋体" w:hAnsi="Times New Roman" w:hint="eastAsia"/>
          <w:color w:val="auto"/>
          <w:sz w:val="24"/>
          <w:highlight w:val="none"/>
          <w:lang w:val="en-US" w:eastAsia="zh-CN"/>
        </w:rPr>
        <w:t>国土空间</w:t>
      </w:r>
      <w:r>
        <w:rPr>
          <w:rFonts w:ascii="Times New Roman" w:eastAsia="宋体" w:hAnsi="Times New Roman" w:hint="eastAsia"/>
          <w:color w:val="auto"/>
          <w:sz w:val="24"/>
          <w:highlight w:val="none"/>
        </w:rPr>
        <w:t>规划，统筹安排，同步实施。同时，要协调有关职能部门积极支持和保障移动通信基站选址，在建设路灯、监控、交通指示、通信等杆塔设施时，应统筹考虑并优先采用有“多杆合一”功能的“城市智慧型杆塔”。</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3、为贯彻落实国家和自治区关于加快5G发展的总体要求，执行和落实《广西加快5G产业发展行动计划</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2019-2021年</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桂数广发〔2019〕4号</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文件指示精神，做好5G基站规划编制，明确要求根据现有土地利用国土空间规划，优先支持5G通信基础设施建设；同时，做好5G基站建设规划与相关规划衔接，明确要求到2020年底，各县（市、区）政府要把5G基站建设规划纳入国土空间规划，要把5G建设所需的基站站址、传输机房及管线、电力等配套设施纳入市政基础设施专项规划，要把交通干线与重要交通枢纽场所5G基站纳入建设专项规划。</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4、按照“整合资源、统一标准、政府主导、铁塔统筹、共建共享”原则和工作机制，推进智慧杆塔建设。全市各级国有机构建设的杆塔资源（包含但不限于公安、交通、监测、照明、电力、通信等行业杆塔资源），具备条件的要免费向中国铁塔和基础电信企业开放；社会资源建设的公共场合杆塔资源按统一市场限价向中国铁塔和基础电信企业开放。</w:t>
      </w:r>
    </w:p>
    <w:p>
      <w:pPr>
        <w:widowControl/>
        <w:spacing w:line="240" w:lineRule="auto"/>
        <w:ind w:left="0" w:firstLine="480"/>
        <w:rPr>
          <w:rFonts w:ascii="Times New Roman" w:eastAsia="宋体" w:hAnsi="Times New Roman"/>
          <w:color w:val="auto"/>
          <w:highlight w:val="none"/>
        </w:rPr>
      </w:pPr>
      <w:r>
        <w:rPr>
          <w:rFonts w:ascii="Times New Roman" w:eastAsia="宋体" w:hAnsi="Times New Roman" w:hint="eastAsia"/>
          <w:color w:val="auto"/>
          <w:sz w:val="24"/>
          <w:highlight w:val="none"/>
        </w:rPr>
        <w:t>5、加大资源开放力度，遵循“一切挂高皆可用”的原则，全市各级政府机关、企事业单位、高等院校、医院等所属建筑物、构筑物，交通枢纽站等公共交通设施，桥梁、公园景区、公共绿地及管道等市政公共设施，向中国铁塔及基础电信企业免费开放。</w:t>
      </w:r>
    </w:p>
    <w:p>
      <w:pPr>
        <w:pStyle w:val="Heading3"/>
        <w:spacing w:line="240" w:lineRule="auto"/>
        <w:ind w:left="0" w:firstLine="482"/>
        <w:rPr>
          <w:rFonts w:ascii="Times New Roman" w:eastAsia="宋体" w:hAnsi="Times New Roman" w:cstheme="majorEastAsia"/>
          <w:color w:val="auto"/>
          <w:sz w:val="24"/>
          <w:szCs w:val="24"/>
          <w:highlight w:val="none"/>
        </w:rPr>
      </w:pPr>
      <w:bookmarkStart w:id="7" w:name="_Toc9035"/>
      <w:r>
        <w:rPr>
          <w:rFonts w:ascii="Times New Roman" w:eastAsia="宋体" w:hAnsi="Times New Roman" w:cstheme="majorEastAsia" w:hint="eastAsia"/>
          <w:color w:val="auto"/>
          <w:sz w:val="24"/>
          <w:szCs w:val="24"/>
          <w:highlight w:val="none"/>
        </w:rPr>
        <w:t>五、规划原则与</w:t>
      </w:r>
      <w:r>
        <w:rPr>
          <w:rFonts w:ascii="Times New Roman" w:eastAsia="宋体" w:hAnsi="Times New Roman" w:cstheme="majorEastAsia"/>
          <w:color w:val="auto"/>
          <w:sz w:val="24"/>
          <w:szCs w:val="24"/>
          <w:highlight w:val="none"/>
        </w:rPr>
        <w:t>思路</w:t>
      </w:r>
      <w:bookmarkEnd w:id="7"/>
    </w:p>
    <w:p>
      <w:pPr>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全面落实《国家新型城镇化规划（</w:t>
      </w:r>
      <w:r>
        <w:rPr>
          <w:rFonts w:ascii="Times New Roman" w:eastAsia="宋体" w:hAnsi="Times New Roman"/>
          <w:color w:val="auto"/>
          <w:sz w:val="24"/>
          <w:highlight w:val="none"/>
        </w:rPr>
        <w:t>20</w:t>
      </w:r>
      <w:r>
        <w:rPr>
          <w:rFonts w:ascii="Times New Roman" w:eastAsia="宋体" w:hAnsi="Times New Roman" w:hint="eastAsia"/>
          <w:color w:val="auto"/>
          <w:sz w:val="24"/>
          <w:highlight w:val="none"/>
        </w:rPr>
        <w:t>21</w:t>
      </w:r>
      <w:r>
        <w:rPr>
          <w:rFonts w:ascii="Times New Roman" w:eastAsia="宋体" w:hAnsi="Times New Roman"/>
          <w:color w:val="auto"/>
          <w:sz w:val="24"/>
          <w:highlight w:val="none"/>
        </w:rPr>
        <w:t>-20</w:t>
      </w:r>
      <w:r>
        <w:rPr>
          <w:rFonts w:ascii="Times New Roman" w:eastAsia="宋体" w:hAnsi="Times New Roman" w:hint="eastAsia"/>
          <w:color w:val="auto"/>
          <w:sz w:val="24"/>
          <w:highlight w:val="none"/>
        </w:rPr>
        <w:t>35）》、《“宽带中国”战略及实施方案》、《国务院办公厅关于加快高速宽带网络建设推进网络提速降费的指导意见》（国办发</w:t>
      </w:r>
      <w:r>
        <w:rPr>
          <w:rFonts w:ascii="Times New Roman" w:eastAsia="宋体" w:hAnsi="Times New Roman"/>
          <w:color w:val="auto"/>
          <w:sz w:val="24"/>
          <w:highlight w:val="none"/>
        </w:rPr>
        <w:t xml:space="preserve">[2015]41 </w:t>
      </w:r>
      <w:r>
        <w:rPr>
          <w:rFonts w:ascii="Times New Roman" w:eastAsia="宋体" w:hAnsi="Times New Roman" w:hint="eastAsia"/>
          <w:color w:val="auto"/>
          <w:sz w:val="24"/>
          <w:highlight w:val="none"/>
        </w:rPr>
        <w:t>号）、《关于推进电信基础设施共建共享支撑5G网络加快建设发展的实施意见》（工信部联通信〔2020〕78号）以及《广西新型基础设施建设发展规划（202</w:t>
      </w:r>
      <w:r>
        <w:rPr>
          <w:rFonts w:ascii="Times New Roman" w:eastAsia="宋体" w:hAnsi="Times New Roman"/>
          <w:color w:val="auto"/>
          <w:sz w:val="24"/>
          <w:highlight w:val="none"/>
        </w:rPr>
        <w:t>1</w:t>
      </w:r>
      <w:r>
        <w:rPr>
          <w:rFonts w:ascii="Times New Roman" w:eastAsia="宋体" w:hAnsi="Times New Roman" w:hint="eastAsia"/>
          <w:color w:val="auto"/>
          <w:sz w:val="24"/>
          <w:highlight w:val="none"/>
        </w:rPr>
        <w:t>-2025年）送审稿》要求，以加快构建“宽带、融合、安全、泛在”的下一代国家信息基础设施为目标，按照“统一规划、合理布局、远近结合、共建共享”的原则，结合城市规划改革创新，统筹各类通信基础设施规划，加强通信管线与其他管线的综合规划，推进通信基础设施建设和技术升级，提升通信网络覆盖范围和服务质量，促进通信基础设施又好又快发展。</w:t>
      </w:r>
    </w:p>
    <w:p>
      <w:pPr>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1、统筹规划、系统推进。把5G通信基础设施项目建设与传统基础设施改造升级统筹考虑，一体谋划、协同推进，促进5G通信基础与传统基础设施智能融合发展，显著提升基础设施保障能力。</w:t>
      </w:r>
    </w:p>
    <w:p>
      <w:pPr>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2、市场主导、政府推动。充分发挥市场配置资源决定性作用和更好发挥政府作用，加强顶层设计，构建良好的政策环境和营商环境，激发市场主体活力，让广大企业成为5G通信基础设施建设的主力军。</w:t>
      </w:r>
    </w:p>
    <w:p>
      <w:pPr>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3、创新驱动、技术引领。深入实施创新驱动发展战略，瞄准国内外前沿技术领域，广泛运用最新科技成果，抢占科技竞争制高点，着力提升基础设施数字化、网络化、智能化水平。</w:t>
      </w:r>
    </w:p>
    <w:p>
      <w:pPr>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4、应用导向、培育产业。通过5G通信基础设施建设，支撑发展新经济，培育智能制造、远程医疗、在线办公、在线教育、无人配送等新业态，培育新产业形成新动能。</w:t>
      </w:r>
    </w:p>
    <w:p>
      <w:pPr>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szCs w:val="24"/>
          <w:highlight w:val="none"/>
        </w:rPr>
        <w:t>紧抓玉林主动服务</w:t>
      </w:r>
      <w:r>
        <w:rPr>
          <w:rFonts w:ascii="Times New Roman" w:eastAsia="宋体" w:hAnsi="Times New Roman" w:hint="eastAsia"/>
          <w:color w:val="auto"/>
          <w:sz w:val="24"/>
          <w:highlight w:val="none"/>
        </w:rPr>
        <w:t>和融入“一带一路”的发展战略，以广泛覆盖、重点突破、跨越发展为主线，加大通信网络基础设施统筹，实施提升网络能力，成为重要经济增长极提供战略支撑。加快信息资源的有效整合与共享交换，打破部门和地区界限，促进网络融合和系统的互联互通，提高信息化发展效益；全面落实工业</w:t>
      </w:r>
      <w:r>
        <w:rPr>
          <w:rFonts w:ascii="Times New Roman" w:eastAsia="宋体" w:hAnsi="Times New Roman" w:hint="eastAsia"/>
          <w:color w:val="auto"/>
          <w:sz w:val="24"/>
          <w:highlight w:val="none"/>
          <w:lang w:val="en-US" w:eastAsia="zh-CN"/>
        </w:rPr>
        <w:t>和</w:t>
      </w:r>
      <w:r>
        <w:rPr>
          <w:rFonts w:ascii="Times New Roman" w:eastAsia="宋体" w:hAnsi="Times New Roman" w:hint="eastAsia"/>
          <w:color w:val="auto"/>
          <w:sz w:val="24"/>
          <w:highlight w:val="none"/>
        </w:rPr>
        <w:t>信息化部《关于推动5G加快发展的通知》、广西壮族自治区数字广西建设领导小组关于印发《广西加快5G产业发展行动计划（2019-2021年）》的通知</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桂数广发〔2019〕4号</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广西新型基础设施建设发展规划（2021-2035年）送审稿》要求，以5G创新为动力，促进产业转型升级，推动数字广西建设，增强社会经济发展新动能，同时根据《关于推进电信基础设施共建共享支撑5G网络加快建设发展的实施意见》（工信部联通信〔2020〕 78 号）的意见，按照“坚持规划引领、加强统筹协调、完善市场机制、推进开放共享”的原则，开展通信基础设施专项规划编制工作，加强通信管线与其他管线综合规划，做好通信基础设施专项规划与城市协调衔接，推进5G通信基础设施和技术升级，提升5G通信网络覆盖范围和服务质量，促进5G通信基础设施又好又快发展。</w:t>
      </w:r>
    </w:p>
    <w:p>
      <w:pPr>
        <w:pStyle w:val="Heading3"/>
        <w:spacing w:line="240" w:lineRule="auto"/>
        <w:ind w:left="0" w:firstLine="482"/>
        <w:rPr>
          <w:rFonts w:ascii="Times New Roman" w:eastAsia="宋体" w:hAnsi="Times New Roman" w:cstheme="majorEastAsia"/>
          <w:color w:val="auto"/>
          <w:sz w:val="24"/>
          <w:szCs w:val="24"/>
          <w:highlight w:val="none"/>
        </w:rPr>
      </w:pPr>
      <w:bookmarkStart w:id="8" w:name="_Toc13623"/>
      <w:r>
        <w:rPr>
          <w:rFonts w:ascii="Times New Roman" w:eastAsia="宋体" w:hAnsi="Times New Roman" w:cstheme="majorEastAsia" w:hint="eastAsia"/>
          <w:color w:val="auto"/>
          <w:sz w:val="24"/>
          <w:szCs w:val="24"/>
          <w:highlight w:val="none"/>
        </w:rPr>
        <w:t>六、规划技术路线</w:t>
      </w:r>
      <w:bookmarkEnd w:id="8"/>
    </w:p>
    <w:p>
      <w:pPr>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本规划采用城市差异化覆盖的技术路线，将城市规划因子引入传统的无线规划模型中。在进行移动通信基站站址规划时，充分对城市规划进行分析，明确各地块的用途，结合实际无线网络情况，制定不同地块的覆盖需求及重点。同时在评估规划结果时，改变单纯从网络关键指标分析的形式，引入城市要素因子，全面地对网络进行评估。</w:t>
      </w:r>
    </w:p>
    <w:p>
      <w:pPr>
        <w:widowControl/>
        <w:spacing w:line="240" w:lineRule="auto"/>
        <w:ind w:left="0" w:firstLine="0" w:firstLineChars="0"/>
        <w:jc w:val="left"/>
        <w:rPr>
          <w:rFonts w:ascii="Times New Roman" w:eastAsia="宋体" w:hAnsi="Times New Roman"/>
          <w:b/>
          <w:color w:val="auto"/>
          <w:sz w:val="32"/>
          <w:szCs w:val="32"/>
          <w:highlight w:val="none"/>
        </w:rPr>
      </w:pPr>
      <w:r>
        <w:rPr>
          <w:rFonts w:ascii="Times New Roman" w:eastAsia="宋体" w:hAnsi="Times New Roman"/>
          <w:color w:val="auto"/>
          <w:sz w:val="32"/>
          <w:szCs w:val="32"/>
          <w:highlight w:val="none"/>
        </w:rPr>
        <w:br w:type="page"/>
      </w:r>
    </w:p>
    <w:p>
      <w:pPr>
        <w:pStyle w:val="Heading2"/>
        <w:spacing w:before="260" w:after="260" w:line="240" w:lineRule="auto"/>
        <w:ind w:left="0" w:firstLine="643"/>
        <w:rPr>
          <w:rFonts w:ascii="Times New Roman" w:eastAsia="宋体" w:hAnsi="Times New Roman"/>
          <w:color w:val="auto"/>
          <w:sz w:val="32"/>
          <w:szCs w:val="32"/>
          <w:highlight w:val="none"/>
        </w:rPr>
      </w:pPr>
      <w:bookmarkStart w:id="9" w:name="_Toc7828"/>
      <w:r>
        <w:rPr>
          <w:rFonts w:ascii="Times New Roman" w:eastAsia="宋体" w:hAnsi="Times New Roman" w:hint="eastAsia"/>
          <w:color w:val="auto"/>
          <w:sz w:val="32"/>
          <w:szCs w:val="32"/>
          <w:highlight w:val="none"/>
        </w:rPr>
        <w:t>第二章 相关规划</w:t>
      </w:r>
      <w:r>
        <w:rPr>
          <w:rFonts w:ascii="Times New Roman" w:eastAsia="宋体" w:hAnsi="Times New Roman"/>
          <w:color w:val="auto"/>
          <w:sz w:val="32"/>
          <w:szCs w:val="32"/>
          <w:highlight w:val="none"/>
        </w:rPr>
        <w:t>解读</w:t>
      </w:r>
      <w:bookmarkEnd w:id="9"/>
      <w:r>
        <w:rPr>
          <w:rFonts w:ascii="Times New Roman" w:eastAsia="宋体" w:hAnsi="Times New Roman" w:hint="eastAsia"/>
          <w:color w:val="auto"/>
          <w:sz w:val="32"/>
          <w:szCs w:val="32"/>
          <w:highlight w:val="none"/>
        </w:rPr>
        <w:tab/>
      </w:r>
    </w:p>
    <w:p>
      <w:pPr>
        <w:pStyle w:val="Heading3"/>
        <w:spacing w:line="240" w:lineRule="auto"/>
        <w:ind w:left="0" w:firstLine="482"/>
        <w:rPr>
          <w:rFonts w:ascii="Times New Roman" w:eastAsia="宋体" w:hAnsi="Times New Roman" w:cstheme="majorEastAsia"/>
          <w:color w:val="auto"/>
          <w:sz w:val="24"/>
          <w:szCs w:val="24"/>
          <w:highlight w:val="none"/>
        </w:rPr>
      </w:pPr>
      <w:bookmarkStart w:id="10" w:name="_Toc32077"/>
      <w:r>
        <w:rPr>
          <w:rFonts w:ascii="Times New Roman" w:eastAsia="宋体" w:hAnsi="Times New Roman" w:cstheme="majorEastAsia" w:hint="eastAsia"/>
          <w:color w:val="auto"/>
          <w:sz w:val="24"/>
          <w:szCs w:val="24"/>
          <w:highlight w:val="none"/>
        </w:rPr>
        <w:t>一、玉林市国土空间</w:t>
      </w:r>
      <w:r>
        <w:rPr>
          <w:rFonts w:ascii="Times New Roman" w:eastAsia="宋体" w:hAnsi="Times New Roman" w:cstheme="majorEastAsia"/>
          <w:color w:val="auto"/>
          <w:sz w:val="24"/>
          <w:szCs w:val="24"/>
          <w:highlight w:val="none"/>
        </w:rPr>
        <w:t>规划</w:t>
      </w:r>
      <w:bookmarkEnd w:id="10"/>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1、城市发展定位</w:t>
      </w: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rPr>
        <w:t>深入贯彻习近平总书记赋予广西的“三大定位”新使命和“五个更大”重要要求，主动承担国家及区域赋予玉林的历史使命和责任担当，衔接上位规划，玉林市发展定位为：</w:t>
      </w: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rPr>
        <w:t>——广西“两湾联动、陆海协同”的战略枢纽城市。</w:t>
      </w: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rPr>
        <w:t>——“两湾”产业融合发展先行试验区。</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——新兴制造示范城市、民营经济示范城市和乡村振兴示范城市。</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2、城市性质</w:t>
      </w: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rPr>
        <w:t>至2035年，将玉林建设成为桂东南地区的区域中心城市，国家重要的新材料、先进装备制造、大健康和现代轻工产业基地，北部湾重要的综合交通枢纽、商贸物流中心，岭南山水与地域人文相融共生的秀美公园城市。</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到2035年，规划玉林市常住人口规模达到650万人，城镇人口规模达到430万人，常住人口城镇化率达到66%。</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3、构建城镇空间格局</w:t>
      </w: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rPr>
        <w:t>构建“玉北同城、中心集群；两圈协同、三轴联动”的城镇空间格局。明确市域发展核心区域，提倡土地集约化利用，提升国土空间利用效率。</w:t>
      </w: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rPr>
        <w:t>推进玉北同城化：以高铁新城和玉林经开区为核心载体，激活南流江、清湾江、北流河等水体的城市廊道作用，推动玉林、北流城区的相向发展，形成“双城联动、双心链接、两江汇流”的玉北都市区。</w:t>
      </w: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rPr>
        <w:t>凝聚市域中心集群：构建以玉北都市区为发展核心，联动容县、兴业等周边县城的玉林中心城镇群，集聚大玉林地区优势资源，参与更高层级区域分工。</w:t>
      </w: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rPr>
        <w:t>建设两大城镇圈：以龙潭产业新城为发展核心，建设龙潭临港海陆统筹城镇圈，以博白、陆川县城为核心建设博白陆川中部协同发展城镇圈；通过两大城镇圈建设，构建玉林出海通道与出海新门户，推动玉北都市区向海发展。</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三轴联动发展：推动“两湾”产业融合发展先行试验区建设，夯实向东发展重要通道和区域枢纽战略地位，形成两湾融合发展主轴；全面实施向海产业壮大行动，联动博白、陆川等周边县城，对接南宁、广州两大区域中心城市，联通湛江港、海南自贸区，形成向海发展主轴、陆海统筹发展主轴。</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lang w:val="en-US" w:eastAsia="zh-CN"/>
        </w:rPr>
        <w:t>4</w:t>
      </w:r>
      <w:r>
        <w:rPr>
          <w:rFonts w:ascii="Times New Roman" w:eastAsia="宋体" w:hAnsi="Times New Roman" w:hint="eastAsia"/>
          <w:color w:val="auto"/>
          <w:sz w:val="24"/>
          <w:highlight w:val="none"/>
        </w:rPr>
        <w:t>、完善市域城镇体系</w:t>
      </w: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rPr>
        <w:t>构建“一主、两副、四心、多节点”的市域城镇体系。强化玉林中心城区的辐射带动作用、县级中心城市的综合承载作用、重点镇的关键支撑作用和一般镇的战略基点作用，加快构建城镇协调发展、互促共进的城镇体系格局。</w:t>
      </w: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rPr>
        <w:t>一主：市域中心城市，指玉林中心城区。是承担国家战略职能、引领和带动全市高质量发展、构建现代产业新体系的市域中心城市。至2035年，发展成为常住城镇人口规模总量约135万人以上的Ⅱ型大城市。</w:t>
      </w: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rPr>
        <w:t>两副：市域副中心城市，指北流城区和龙潭产业新城。是承担区域战略和产业功能、带动城镇化均衡发展的主要载体，培育成为人口规模较大、产业集聚较强、资源环境承载能力较好、引导促进新型城镇化发展的市域副中心城市。其中，北流城区发展成为常住人口约40万人的Ⅰ型小城市，建设粤桂合作先进制造业及服务业基地，承接东部产业转移示范区，市域综合服务节点；龙潭产业新城发展成为常住人口规模约20万人的Ⅰ型小城市，建设桂东南地区的出海新门户、玉林南部港城一体的产业新城、玉林向海经济的主阵地。</w:t>
      </w: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rPr>
        <w:t>四心：县级中心城市，指博白县城、陆川县城、容县县城和兴业县城。是推动城乡要素双向流动和自由交换，支撑就地就近城镇化发展的具有综合承载作用的县级中心城市。其中，博白县城发展成为常住人口约35万人的Ⅰ型小城市，建设北部湾经济区的重要发展节点，对接北海出海通道的门户，以现代制造、新兴产业为主的产业升级转型示范区；陆川县城发展成为常住人口约28.5万人的Ⅰ型小城市，建设成为粤桂合作窗口，对接湛江出海通道的门户，以生态、文化为特色的旅游服务基地、生态农业基地；容县县城发展成为常住人口约30万人的Ⅰ型小城市，建设对接珠江—西江经济带的东部门户，以历史文化、侨乡文化为特色的商务商贸节点、特色旅游基地、文化交流基地；兴业县城发展成为常住人口约15万人的Ⅱ型小城市，建设成为对接南宁市的西部门户，以生态、文化为特色的农业示范区、制造业配套区，乡村旅游示范区。</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多节点：重点镇，包括福绵区樟木镇、石和镇，北流市隆盛镇、六靖镇、民乐镇、民安镇、塘岸镇，陆川县乌石镇、马坡镇，博白县文地镇、亚山镇、双旺镇、龙潭镇、东平镇，容县黎村镇、杨梅镇、松山镇，兴业县城隍镇、大平山镇、蒲塘镇。是构建乡村地区就业和服务节点，推动乡村振兴和城乡融合发展。规划至2035年常住人口规模3</w:t>
      </w:r>
      <w:r>
        <w:rPr>
          <w:rFonts w:ascii="Times New Roman" w:eastAsia="宋体" w:hAnsi="Times New Roman" w:hint="eastAsia"/>
          <w:color w:val="auto"/>
          <w:sz w:val="24"/>
          <w:highlight w:val="none"/>
          <w:lang w:val="en-US" w:eastAsia="zh-CN"/>
        </w:rPr>
        <w:t>万</w:t>
      </w:r>
      <w:r>
        <w:rPr>
          <w:rFonts w:ascii="Times New Roman" w:eastAsia="宋体" w:hAnsi="Times New Roman" w:hint="eastAsia"/>
          <w:color w:val="auto"/>
          <w:sz w:val="24"/>
          <w:highlight w:val="none"/>
        </w:rPr>
        <w:t>—10万人。</w:t>
      </w:r>
    </w:p>
    <w:p>
      <w:pPr>
        <w:pStyle w:val="Heading3"/>
        <w:spacing w:line="240" w:lineRule="auto"/>
        <w:ind w:left="0" w:firstLine="482"/>
        <w:rPr>
          <w:rFonts w:ascii="Times New Roman" w:eastAsia="宋体" w:hAnsi="Times New Roman"/>
          <w:color w:val="auto"/>
          <w:sz w:val="24"/>
          <w:szCs w:val="24"/>
          <w:highlight w:val="none"/>
        </w:rPr>
      </w:pPr>
      <w:bookmarkStart w:id="11" w:name="_Toc26661"/>
      <w:r>
        <w:rPr>
          <w:rFonts w:ascii="Times New Roman" w:eastAsia="宋体" w:hAnsi="Times New Roman" w:cstheme="majorEastAsia" w:hint="eastAsia"/>
          <w:color w:val="auto"/>
          <w:sz w:val="24"/>
          <w:szCs w:val="24"/>
          <w:highlight w:val="none"/>
        </w:rPr>
        <w:t>二</w:t>
      </w:r>
      <w:r>
        <w:rPr>
          <w:rFonts w:ascii="Times New Roman" w:eastAsia="宋体" w:hAnsi="Times New Roman" w:cstheme="majorEastAsia"/>
          <w:color w:val="auto"/>
          <w:sz w:val="24"/>
          <w:szCs w:val="24"/>
          <w:highlight w:val="none"/>
        </w:rPr>
        <w:t>、</w:t>
      </w:r>
      <w:r>
        <w:rPr>
          <w:rFonts w:ascii="Times New Roman" w:eastAsia="宋体" w:hAnsi="Times New Roman" w:cstheme="majorEastAsia" w:hint="eastAsia"/>
          <w:color w:val="auto"/>
          <w:sz w:val="24"/>
          <w:szCs w:val="24"/>
          <w:highlight w:val="none"/>
        </w:rPr>
        <w:t>通讯工程规划</w:t>
      </w:r>
      <w:bookmarkEnd w:id="11"/>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1、《广西新型基础设施建设发展规划（2021-2025年）送审稿》</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到2022年，基本形成全区新型基础设施框架格局，中国一东盟信息港建设初显成效，县城以上城区和高速铁路实现5G网络布局，5G基站达到5万座，“一主一副”的数据中心空间布局基本形成，一批工业互联网，物联网、人工智能示范基地和应用场景初步培育，建成一批智慧城市、智慧乡村、智慧社区。全区数字产业化，产业数字化水平明显提升。</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到2025年，中国一东盟信息港全面建成，全区新型基础设施建设迈向国内领先水平。建成面向东盟的国际信息通信枢纽，5G基站达到10万座，高速公路实现5G布局，数据中心达到100万标准机架，形成泛在感知、万物互联、数据智能、绿色安全的新型信息基础设施，推动交通、能源、水利、文化、教育、医疗、旅游、金融等与数字技术深度融合，城市建设、社会治理体系的数字化、网络化、智能化水平大幅提升，新型基础设施成为全区经济高质量发展的重要支撑，数字产业成为经济增长的支柱产业。</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2、《广西加快5G产业发展行动计划</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2019-2021年</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桂数广发〔2019〕4号</w:t>
      </w:r>
      <w:r>
        <w:rPr>
          <w:rFonts w:ascii="Times New Roman" w:eastAsia="宋体" w:hAnsi="Times New Roman" w:hint="eastAsia"/>
          <w:color w:val="auto"/>
          <w:sz w:val="24"/>
          <w:highlight w:val="none"/>
          <w:lang w:eastAsia="zh-CN"/>
        </w:rPr>
        <w:t>）</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到2021年底，全区完成5G规模组网，14个设区市主要城区实现5G网络连续覆盖及商用，县乡重点区域开通5G网络及商用，全区5G基站累计规模确保达到4万座，力争达到5万座。其中，2019年底，全区5G基站规模确保达到3000座，力争达到6000座；2020年底，全区5G基站累计规模不少于2万座，实现14个设区市重点核心区域5G网络连续覆盖，8个设区市主要城区实现5G网络连续覆盖及商用。</w:t>
      </w: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rPr>
        <w:t>5G基站建设规划由中国铁塔股份有限公司广西分公司（以下简称“铁塔公司”）会同各基础电信企业统筹提出。各设区市政府要根据现有土地利用国土空间规划，优先支持5G通信基础设施建设。5G基站建设规划应以市县国土空间规划为基础，并与详细规划做好衔接。2020年底前，各设区市政府要把5G基站建设规划纳入国土空间规划，要把5G建设所需的基站站址、传输机房及管线、电力等配套设施纳入市政基础设施专项规划，要把交通干线与重要交通枢纽场所5G基站纳入建设规划。各设区市政府要把5G网络站址、机房、电源、管道和天面等配建空间，同步落实到国土空间详细规划、城乡住房建设规划、交通设施规划等规划中。新建住宅与公共建筑的建设单位或项目业主，要严格执行国家相关规范和标准，在工程建设过程中，预留满足5G宏站、微站、室内分布系统、传输机房及管线等通信基础设施的安装空间。</w:t>
      </w: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rPr>
        <w:t>3、住房和城乡建设部关于发布国家标准《建筑物移动通信基础设施工程技术标准》的公告【2023年第 70号】</w:t>
      </w: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rPr>
        <w:t>一、下列建筑物应配建无线室内覆盖系统基础设施：</w:t>
      </w: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rPr>
        <w:t>1、单体建筑面积为10000㎡及以上的商业建筑、办公建筑、卫生建筑、文化建筑、旅馆酒店建筑、交通建筑、教育建筑；</w:t>
      </w: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rPr>
        <w:t>2、观众席3000座及以上的体育建筑；</w:t>
      </w: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rPr>
        <w:t>3、单体建筑面积为20000㎡及以上的其他民用建筑。</w:t>
      </w: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rPr>
        <w:t>二、下列建筑物宜按需求配建无线室内覆盖系统基础设施：</w:t>
      </w: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rPr>
        <w:t>1、7层及以上的居住建筑；</w:t>
      </w: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rPr>
        <w:t>2、有人员活动的地下场所和电梯井道；</w:t>
      </w: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rPr>
        <w:t>3、有信息化需求的工业建筑。</w:t>
      </w: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rPr>
        <w:t>三、移动通信基础设施的结构安全等级、耐火等级及抗震设防类别应与建筑物一致，且结构安全等级和耐火等级不应低于二级，抗震设防类别不应低于标准设防类。</w:t>
      </w:r>
    </w:p>
    <w:p>
      <w:pPr>
        <w:pStyle w:val="NormalIndent"/>
        <w:rPr>
          <w:rFonts w:hint="eastAsia"/>
          <w:color w:val="auto"/>
          <w:highlight w:val="none"/>
          <w:lang w:val="en-US"/>
        </w:rPr>
      </w:pPr>
    </w:p>
    <w:p>
      <w:pPr>
        <w:pStyle w:val="NormalIndent"/>
        <w:rPr>
          <w:color w:val="auto"/>
          <w:highlight w:val="none"/>
        </w:rPr>
      </w:pPr>
    </w:p>
    <w:p>
      <w:pPr>
        <w:widowControl/>
        <w:spacing w:line="240" w:lineRule="auto"/>
        <w:ind w:left="0" w:firstLine="640"/>
        <w:rPr>
          <w:rFonts w:ascii="Times New Roman" w:eastAsia="宋体" w:hAnsi="Times New Roman"/>
          <w:color w:val="auto"/>
          <w:sz w:val="32"/>
          <w:szCs w:val="32"/>
          <w:highlight w:val="none"/>
        </w:rPr>
      </w:pPr>
      <w:r>
        <w:rPr>
          <w:rFonts w:ascii="Times New Roman" w:eastAsia="宋体" w:hAnsi="Times New Roman"/>
          <w:color w:val="auto"/>
          <w:sz w:val="32"/>
          <w:szCs w:val="32"/>
          <w:highlight w:val="none"/>
        </w:rPr>
        <w:br w:type="page"/>
      </w:r>
    </w:p>
    <w:p>
      <w:pPr>
        <w:pStyle w:val="Heading2"/>
        <w:spacing w:before="260" w:after="260" w:line="240" w:lineRule="auto"/>
        <w:ind w:left="0" w:firstLine="643"/>
        <w:rPr>
          <w:rFonts w:ascii="Times New Roman" w:eastAsia="宋体" w:hAnsi="Times New Roman"/>
          <w:color w:val="auto"/>
          <w:sz w:val="32"/>
          <w:szCs w:val="32"/>
          <w:highlight w:val="none"/>
        </w:rPr>
      </w:pPr>
      <w:bookmarkStart w:id="12" w:name="_Toc19523"/>
      <w:r>
        <w:rPr>
          <w:rFonts w:ascii="Times New Roman" w:eastAsia="宋体" w:hAnsi="Times New Roman" w:hint="eastAsia"/>
          <w:color w:val="auto"/>
          <w:sz w:val="32"/>
          <w:szCs w:val="32"/>
          <w:highlight w:val="none"/>
        </w:rPr>
        <w:t xml:space="preserve">第三章 </w:t>
      </w:r>
      <w:r>
        <w:rPr>
          <w:rFonts w:ascii="Times New Roman" w:eastAsia="宋体" w:hAnsi="Times New Roman" w:hint="eastAsia"/>
          <w:color w:val="auto"/>
          <w:sz w:val="32"/>
          <w:szCs w:val="32"/>
          <w:highlight w:val="none"/>
        </w:rPr>
        <w:tab/>
      </w:r>
      <w:r>
        <w:rPr>
          <w:rFonts w:ascii="Times New Roman" w:eastAsia="宋体" w:hAnsi="Times New Roman" w:hint="eastAsia"/>
          <w:color w:val="auto"/>
          <w:sz w:val="32"/>
          <w:szCs w:val="32"/>
          <w:highlight w:val="none"/>
        </w:rPr>
        <w:t>通</w:t>
      </w:r>
      <w:r>
        <w:rPr>
          <w:rFonts w:ascii="Times New Roman" w:eastAsia="宋体" w:hAnsi="Times New Roman" w:hint="eastAsia"/>
          <w:color w:val="auto"/>
          <w:sz w:val="32"/>
          <w:szCs w:val="32"/>
          <w:highlight w:val="none"/>
          <w:lang w:val="en-US" w:eastAsia="zh-CN"/>
        </w:rPr>
        <w:t>信</w:t>
      </w:r>
      <w:r>
        <w:rPr>
          <w:rFonts w:ascii="Times New Roman" w:eastAsia="宋体" w:hAnsi="Times New Roman" w:hint="eastAsia"/>
          <w:color w:val="auto"/>
          <w:sz w:val="32"/>
          <w:szCs w:val="32"/>
          <w:highlight w:val="none"/>
        </w:rPr>
        <w:t>基础设施现状</w:t>
      </w:r>
      <w:bookmarkEnd w:id="12"/>
      <w:r>
        <w:rPr>
          <w:rFonts w:ascii="Times New Roman" w:eastAsia="宋体" w:hAnsi="Times New Roman" w:hint="eastAsia"/>
          <w:color w:val="auto"/>
          <w:sz w:val="32"/>
          <w:szCs w:val="32"/>
          <w:highlight w:val="none"/>
        </w:rPr>
        <w:tab/>
      </w:r>
    </w:p>
    <w:p>
      <w:pPr>
        <w:pStyle w:val="Heading3"/>
        <w:spacing w:line="240" w:lineRule="auto"/>
        <w:ind w:left="0" w:firstLine="482"/>
        <w:rPr>
          <w:rFonts w:ascii="Times New Roman" w:eastAsia="宋体" w:hAnsi="Times New Roman" w:cstheme="majorEastAsia"/>
          <w:color w:val="auto"/>
          <w:sz w:val="24"/>
          <w:szCs w:val="24"/>
          <w:highlight w:val="none"/>
        </w:rPr>
      </w:pPr>
      <w:bookmarkStart w:id="13" w:name="_Toc17634"/>
      <w:r>
        <w:rPr>
          <w:rFonts w:ascii="Times New Roman" w:eastAsia="宋体" w:hAnsi="Times New Roman" w:cstheme="majorEastAsia" w:hint="eastAsia"/>
          <w:color w:val="auto"/>
          <w:sz w:val="24"/>
          <w:szCs w:val="24"/>
          <w:highlight w:val="none"/>
        </w:rPr>
        <w:t>一、通信网络信息化发展现状</w:t>
      </w:r>
      <w:bookmarkEnd w:id="13"/>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互联网、电信企业持续健康发展。近年来玉林积极落实“宽带中国”战略，大力推进“智慧城市”建设，加快实施第四代移动通信技术规模商用以及驻地网通信基础设施建设，加快建设4G和光纤入户，推进网络承载能力不断增强，4G网络覆盖面不断扩大，用户规模及网络带宽持续增长，各行业信息化应用深入普及。在中国-东盟信息港玉林核心区建设、光网城市、无线玉林、玉林国际直达数据专用通道、国家级互联网骨干直连点建设等方面开展合作，增强基础通信能力，共同推进以玉林市为核心的区域性通信枢纽建设，以及以物联网、移动互联网和云计算为载体的玉林“智慧城市”建设。2022年基础电信运营企业收入平缓增长，增值电信运营企业收入增长较快，互联网企业发展水平不断提升。截</w:t>
      </w:r>
      <w:r>
        <w:rPr>
          <w:rFonts w:ascii="Times New Roman" w:eastAsia="宋体" w:hAnsi="Times New Roman" w:hint="eastAsia"/>
          <w:color w:val="auto"/>
          <w:sz w:val="24"/>
          <w:szCs w:val="24"/>
          <w:highlight w:val="none"/>
          <w:lang w:val="en-US" w:eastAsia="zh-CN"/>
        </w:rPr>
        <w:t>至</w:t>
      </w:r>
      <w:r>
        <w:rPr>
          <w:rFonts w:ascii="Times New Roman" w:eastAsia="宋体" w:hAnsi="Times New Roman" w:hint="eastAsia"/>
          <w:color w:val="auto"/>
          <w:sz w:val="24"/>
          <w:szCs w:val="24"/>
          <w:highlight w:val="none"/>
        </w:rPr>
        <w:t>2022年玉林市电信业务收入累计完成41.76亿元，比上年增长8.6%。</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移动用户增长较快。随着信息化的发展，网络已渗透到社会的方方面面。人们对随时随地能够使用网络，并畅游网络世界的需求感越来越强烈。为了满足人们使用无线网络的美好愿景，电信企业加快了4G网络建设，推进网络承载能力不断增强。用户体验越来越好，移动用户不断增长。截</w:t>
      </w:r>
      <w:r>
        <w:rPr>
          <w:rFonts w:ascii="Times New Roman" w:eastAsia="宋体" w:hAnsi="Times New Roman" w:hint="eastAsia"/>
          <w:color w:val="auto"/>
          <w:sz w:val="24"/>
          <w:szCs w:val="24"/>
          <w:highlight w:val="none"/>
          <w:lang w:val="en-US" w:eastAsia="zh-CN"/>
        </w:rPr>
        <w:t>至</w:t>
      </w:r>
      <w:r>
        <w:rPr>
          <w:rFonts w:ascii="Times New Roman" w:eastAsia="宋体" w:hAnsi="Times New Roman" w:hint="eastAsia"/>
          <w:color w:val="auto"/>
          <w:sz w:val="24"/>
          <w:szCs w:val="24"/>
          <w:highlight w:val="none"/>
        </w:rPr>
        <w:t>2022年12月底</w:t>
      </w:r>
      <w:r>
        <w:rPr>
          <w:rFonts w:ascii="Times New Roman" w:eastAsia="宋体" w:hAnsi="Times New Roman" w:hint="eastAsia"/>
          <w:color w:val="auto"/>
          <w:sz w:val="24"/>
          <w:szCs w:val="24"/>
          <w:highlight w:val="none"/>
          <w:lang w:eastAsia="zh-CN"/>
        </w:rPr>
        <w:t>，</w:t>
      </w:r>
      <w:r>
        <w:rPr>
          <w:rFonts w:ascii="Times New Roman" w:eastAsia="宋体" w:hAnsi="Times New Roman" w:hint="eastAsia"/>
          <w:color w:val="auto"/>
          <w:sz w:val="24"/>
          <w:szCs w:val="24"/>
          <w:highlight w:val="none"/>
        </w:rPr>
        <w:t>玉林市移动电话用户数557.3万户，4G移动电话用户362.24万户，5G移动电话用户195.05万户。</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农村4G网络覆盖进一步提升。探索互联网等信息技术在农业生产管理中的应用，为玉林市数字农业的建设积累经验。积极开展农产品电子商务，建成部分示范性电子商务平台，全力推动玉林特色产品的网上销售。目前正在进行农村移动网建设，将4G网络有序推进到农村较偏远地带。广西2022年度电信普遍服务试点项目是在广西100%行政村通4G网络的基础上，进一步提高无4G网络覆盖的行政村下辖20户以上自然村、移民安置点、交通要道沿线、农林场矿区、水利设施、景区等4G信号覆盖能力的重要工程。2022年自然村4G网络覆盖率达到99.9%以上。</w:t>
      </w:r>
    </w:p>
    <w:p>
      <w:pPr>
        <w:pStyle w:val="Heading3"/>
        <w:spacing w:line="240" w:lineRule="auto"/>
        <w:ind w:left="0" w:firstLine="482"/>
        <w:rPr>
          <w:rFonts w:ascii="Times New Roman" w:eastAsia="宋体" w:hAnsi="Times New Roman" w:cstheme="majorEastAsia"/>
          <w:color w:val="auto"/>
          <w:sz w:val="24"/>
          <w:szCs w:val="24"/>
          <w:highlight w:val="none"/>
        </w:rPr>
      </w:pPr>
      <w:bookmarkStart w:id="14" w:name="_Toc29519"/>
      <w:r>
        <w:rPr>
          <w:rFonts w:ascii="Times New Roman" w:eastAsia="宋体" w:hAnsi="Times New Roman" w:cstheme="majorEastAsia" w:hint="eastAsia"/>
          <w:color w:val="auto"/>
          <w:sz w:val="24"/>
          <w:szCs w:val="24"/>
          <w:highlight w:val="none"/>
        </w:rPr>
        <w:t>二、</w:t>
      </w:r>
      <w:r>
        <w:rPr>
          <w:rFonts w:ascii="Times New Roman" w:eastAsia="宋体" w:hAnsi="Times New Roman" w:hint="eastAsia"/>
          <w:color w:val="auto"/>
          <w:sz w:val="24"/>
          <w:highlight w:val="none"/>
        </w:rPr>
        <w:t>通信基础设施现状概况</w:t>
      </w:r>
      <w:bookmarkEnd w:id="14"/>
    </w:p>
    <w:p>
      <w:pPr>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1、通信基站和通信机房现状</w:t>
      </w:r>
    </w:p>
    <w:p>
      <w:pPr>
        <w:spacing w:line="240" w:lineRule="auto"/>
        <w:ind w:left="0" w:firstLine="480"/>
        <w:rPr>
          <w:rFonts w:ascii="Times New Roman" w:eastAsia="宋体" w:hAnsi="Times New Roman"/>
          <w:color w:val="auto"/>
          <w:sz w:val="24"/>
          <w:highlight w:val="none"/>
        </w:rPr>
      </w:pPr>
      <w:bookmarkStart w:id="15" w:name="_Toc45177850"/>
      <w:r>
        <w:rPr>
          <w:rFonts w:ascii="Times New Roman" w:eastAsia="宋体" w:hAnsi="Times New Roman" w:hint="eastAsia"/>
          <w:color w:val="auto"/>
          <w:sz w:val="24"/>
          <w:highlight w:val="none"/>
        </w:rPr>
        <w:t>截止至202</w:t>
      </w:r>
      <w:r>
        <w:rPr>
          <w:rFonts w:ascii="Times New Roman" w:eastAsia="宋体" w:hAnsi="Times New Roman" w:hint="eastAsia"/>
          <w:color w:val="auto"/>
          <w:sz w:val="24"/>
          <w:highlight w:val="none"/>
          <w:lang w:val="en-US" w:eastAsia="zh-CN"/>
        </w:rPr>
        <w:t>3</w:t>
      </w:r>
      <w:r>
        <w:rPr>
          <w:rFonts w:ascii="Times New Roman" w:eastAsia="宋体" w:hAnsi="Times New Roman" w:hint="eastAsia"/>
          <w:color w:val="auto"/>
          <w:sz w:val="24"/>
          <w:highlight w:val="none"/>
        </w:rPr>
        <w:t>年底，玉林市共有宏站站址7</w:t>
      </w:r>
      <w:r>
        <w:rPr>
          <w:rFonts w:ascii="Times New Roman" w:eastAsia="宋体" w:hAnsi="Times New Roman"/>
          <w:color w:val="auto"/>
          <w:sz w:val="24"/>
          <w:highlight w:val="none"/>
        </w:rPr>
        <w:t>635</w:t>
      </w:r>
      <w:r>
        <w:rPr>
          <w:rFonts w:ascii="Times New Roman" w:eastAsia="宋体" w:hAnsi="Times New Roman" w:hint="eastAsia"/>
          <w:color w:val="auto"/>
          <w:sz w:val="24"/>
          <w:highlight w:val="none"/>
        </w:rPr>
        <w:t>个，室分站点</w:t>
      </w:r>
      <w:r>
        <w:rPr>
          <w:rFonts w:ascii="Times New Roman" w:eastAsia="宋体" w:hAnsi="Times New Roman"/>
          <w:color w:val="auto"/>
          <w:sz w:val="24"/>
          <w:highlight w:val="none"/>
        </w:rPr>
        <w:t>853</w:t>
      </w:r>
      <w:r>
        <w:rPr>
          <w:rFonts w:ascii="Times New Roman" w:eastAsia="宋体" w:hAnsi="Times New Roman" w:hint="eastAsia"/>
          <w:color w:val="auto"/>
          <w:sz w:val="24"/>
          <w:highlight w:val="none"/>
        </w:rPr>
        <w:t>个，重点机房</w:t>
      </w:r>
      <w:r>
        <w:rPr>
          <w:rFonts w:ascii="Times New Roman" w:eastAsia="宋体" w:hAnsi="Times New Roman"/>
          <w:color w:val="auto"/>
          <w:sz w:val="24"/>
          <w:highlight w:val="none"/>
        </w:rPr>
        <w:t>10</w:t>
      </w:r>
      <w:r>
        <w:rPr>
          <w:rFonts w:ascii="Times New Roman" w:eastAsia="宋体" w:hAnsi="Times New Roman" w:hint="eastAsia"/>
          <w:color w:val="auto"/>
          <w:sz w:val="24"/>
          <w:highlight w:val="none"/>
        </w:rPr>
        <w:t>15个。各区县通信基站和通信机房现状详见下表所示：</w:t>
      </w:r>
    </w:p>
    <w:p>
      <w:pPr>
        <w:spacing w:line="240" w:lineRule="auto"/>
        <w:ind w:left="0" w:firstLine="422"/>
        <w:jc w:val="center"/>
        <w:rPr>
          <w:rFonts w:ascii="Times New Roman" w:eastAsia="宋体" w:hAnsi="Times New Roman" w:hint="eastAsia"/>
          <w:b/>
          <w:bCs/>
          <w:color w:val="auto"/>
          <w:szCs w:val="21"/>
          <w:highlight w:val="none"/>
        </w:rPr>
      </w:pPr>
      <w:r>
        <w:rPr>
          <w:rFonts w:ascii="Times New Roman" w:eastAsia="宋体" w:hAnsi="Times New Roman" w:hint="eastAsia"/>
          <w:b/>
          <w:bCs/>
          <w:color w:val="auto"/>
          <w:szCs w:val="21"/>
          <w:highlight w:val="none"/>
        </w:rPr>
        <w:t>表3-1  通信基站和通信机房现状</w:t>
      </w:r>
    </w:p>
    <w:tbl>
      <w:tblPr>
        <w:tblStyle w:val="TableNormal"/>
        <w:tblW w:w="0" w:type="auto"/>
        <w:jc w:val="center"/>
        <w:tblCellMar>
          <w:top w:w="0" w:type="dxa"/>
          <w:left w:w="108" w:type="dxa"/>
          <w:bottom w:w="0" w:type="dxa"/>
          <w:right w:w="108" w:type="dxa"/>
        </w:tblCellMar>
      </w:tblPr>
      <w:tblGrid>
        <w:gridCol w:w="846"/>
        <w:gridCol w:w="1060"/>
        <w:gridCol w:w="1060"/>
        <w:gridCol w:w="1060"/>
      </w:tblGrid>
      <w:tr>
        <w:tblPrEx>
          <w:tblW w:w="0" w:type="auto"/>
          <w:jc w:val="center"/>
          <w:tblCellMar>
            <w:top w:w="0" w:type="dxa"/>
            <w:left w:w="108" w:type="dxa"/>
            <w:bottom w:w="0" w:type="dxa"/>
            <w:right w:w="108" w:type="dxa"/>
          </w:tblCellMar>
        </w:tblPrEx>
        <w:trPr>
          <w:trHeight w:val="48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pPr>
              <w:widowControl/>
              <w:spacing w:line="240" w:lineRule="auto"/>
              <w:ind w:left="0" w:firstLine="0" w:firstLineChars="0"/>
              <w:jc w:val="center"/>
              <w:textAlignment w:val="bottom"/>
              <w:rPr>
                <w:rFonts w:ascii="Times New Roman" w:eastAsia="宋体" w:hAnsi="Times New Roman" w:cs="宋体"/>
                <w:b/>
                <w:bCs/>
                <w:color w:val="auto"/>
                <w:szCs w:val="21"/>
                <w:highlight w:val="none"/>
              </w:rPr>
            </w:pPr>
            <w:r>
              <w:rPr>
                <w:rFonts w:ascii="Times New Roman" w:eastAsia="宋体" w:hAnsi="Times New Roman" w:cs="宋体" w:hint="eastAsia"/>
                <w:b/>
                <w:bCs/>
                <w:color w:val="auto"/>
                <w:kern w:val="0"/>
                <w:szCs w:val="21"/>
                <w:highlight w:val="none"/>
                <w:lang w:bidi="ar"/>
              </w:rPr>
              <w:t>区县</w:t>
            </w:r>
          </w:p>
        </w:tc>
        <w:tc>
          <w:tcPr>
            <w:tcW w:w="0" w:type="auto"/>
            <w:tcBorders>
              <w:top w:val="single" w:sz="8" w:space="0" w:color="000000"/>
              <w:left w:val="nil"/>
              <w:bottom w:val="single" w:sz="8" w:space="0" w:color="000000"/>
              <w:right w:val="single" w:sz="8" w:space="0" w:color="000000"/>
            </w:tcBorders>
            <w:shd w:val="clear" w:color="auto" w:fill="auto"/>
            <w:vAlign w:val="center"/>
          </w:tcPr>
          <w:p>
            <w:pPr>
              <w:widowControl/>
              <w:spacing w:line="240" w:lineRule="auto"/>
              <w:ind w:left="0" w:firstLine="0" w:firstLineChars="0"/>
              <w:jc w:val="center"/>
              <w:textAlignment w:val="bottom"/>
              <w:rPr>
                <w:rFonts w:ascii="Times New Roman" w:eastAsia="宋体" w:hAnsi="Times New Roman" w:cs="宋体"/>
                <w:b/>
                <w:bCs/>
                <w:color w:val="auto"/>
                <w:szCs w:val="21"/>
                <w:highlight w:val="none"/>
              </w:rPr>
            </w:pPr>
            <w:r>
              <w:rPr>
                <w:rFonts w:ascii="Times New Roman" w:eastAsia="宋体" w:hAnsi="Times New Roman" w:cs="宋体" w:hint="eastAsia"/>
                <w:b/>
                <w:bCs/>
                <w:color w:val="auto"/>
                <w:kern w:val="0"/>
                <w:szCs w:val="21"/>
                <w:highlight w:val="none"/>
                <w:lang w:bidi="ar"/>
              </w:rPr>
              <w:t>宏站站址</w:t>
            </w:r>
          </w:p>
        </w:tc>
        <w:tc>
          <w:tcPr>
            <w:tcW w:w="0" w:type="auto"/>
            <w:tcBorders>
              <w:top w:val="single" w:sz="8" w:space="0" w:color="000000"/>
              <w:left w:val="nil"/>
              <w:bottom w:val="single" w:sz="8" w:space="0" w:color="000000"/>
              <w:right w:val="single" w:sz="8" w:space="0" w:color="000000"/>
            </w:tcBorders>
            <w:shd w:val="clear" w:color="auto" w:fill="auto"/>
            <w:vAlign w:val="center"/>
          </w:tcPr>
          <w:p>
            <w:pPr>
              <w:widowControl/>
              <w:spacing w:line="240" w:lineRule="auto"/>
              <w:ind w:left="0" w:firstLine="0" w:firstLineChars="0"/>
              <w:jc w:val="center"/>
              <w:textAlignment w:val="bottom"/>
              <w:rPr>
                <w:rFonts w:ascii="Times New Roman" w:eastAsia="宋体" w:hAnsi="Times New Roman" w:cs="宋体"/>
                <w:b/>
                <w:bCs/>
                <w:color w:val="auto"/>
                <w:szCs w:val="21"/>
                <w:highlight w:val="none"/>
              </w:rPr>
            </w:pPr>
            <w:r>
              <w:rPr>
                <w:rFonts w:ascii="Times New Roman" w:eastAsia="宋体" w:hAnsi="Times New Roman" w:cs="宋体" w:hint="eastAsia"/>
                <w:b/>
                <w:bCs/>
                <w:color w:val="auto"/>
                <w:kern w:val="0"/>
                <w:szCs w:val="21"/>
                <w:highlight w:val="none"/>
                <w:lang w:bidi="ar"/>
              </w:rPr>
              <w:t>室分站点</w:t>
            </w:r>
          </w:p>
        </w:tc>
        <w:tc>
          <w:tcPr>
            <w:tcW w:w="0" w:type="auto"/>
            <w:tcBorders>
              <w:top w:val="single" w:sz="8" w:space="0" w:color="000000"/>
              <w:left w:val="nil"/>
              <w:bottom w:val="single" w:sz="8" w:space="0" w:color="000000"/>
              <w:right w:val="single" w:sz="8" w:space="0" w:color="000000"/>
            </w:tcBorders>
            <w:shd w:val="clear" w:color="auto" w:fill="auto"/>
            <w:vAlign w:val="center"/>
          </w:tcPr>
          <w:p>
            <w:pPr>
              <w:widowControl/>
              <w:spacing w:line="240" w:lineRule="auto"/>
              <w:ind w:left="0" w:firstLine="0" w:firstLineChars="0"/>
              <w:jc w:val="center"/>
              <w:textAlignment w:val="bottom"/>
              <w:rPr>
                <w:rFonts w:ascii="Times New Roman" w:eastAsia="宋体" w:hAnsi="Times New Roman" w:cs="宋体"/>
                <w:b/>
                <w:bCs/>
                <w:color w:val="auto"/>
                <w:szCs w:val="21"/>
                <w:highlight w:val="none"/>
              </w:rPr>
            </w:pPr>
            <w:r>
              <w:rPr>
                <w:rFonts w:ascii="Times New Roman" w:eastAsia="宋体" w:hAnsi="Times New Roman" w:cs="宋体" w:hint="eastAsia"/>
                <w:b/>
                <w:bCs/>
                <w:color w:val="auto"/>
                <w:kern w:val="0"/>
                <w:szCs w:val="21"/>
                <w:highlight w:val="none"/>
                <w:lang w:bidi="ar"/>
              </w:rPr>
              <w:t>重点机房</w:t>
            </w:r>
          </w:p>
        </w:tc>
      </w:tr>
      <w:tr>
        <w:tblPrEx>
          <w:tblW w:w="0" w:type="auto"/>
          <w:jc w:val="center"/>
          <w:tblCellMar>
            <w:top w:w="0" w:type="dxa"/>
            <w:left w:w="108" w:type="dxa"/>
            <w:bottom w:w="0" w:type="dxa"/>
            <w:right w:w="108" w:type="dxa"/>
          </w:tblCellMar>
        </w:tblPrEx>
        <w:trPr>
          <w:trHeight w:val="480"/>
          <w:jc w:val="center"/>
        </w:trPr>
        <w:tc>
          <w:tcPr>
            <w:tcW w:w="0" w:type="auto"/>
            <w:tcBorders>
              <w:top w:val="nil"/>
              <w:left w:val="single" w:sz="8" w:space="0" w:color="000000"/>
              <w:bottom w:val="single" w:sz="8" w:space="0" w:color="000000"/>
              <w:right w:val="single" w:sz="8" w:space="0" w:color="000000"/>
            </w:tcBorders>
            <w:shd w:val="clear" w:color="auto" w:fill="auto"/>
            <w:noWrap/>
            <w:vAlign w:val="center"/>
          </w:tcPr>
          <w:p>
            <w:pPr>
              <w:widowControl/>
              <w:spacing w:line="240" w:lineRule="auto"/>
              <w:ind w:left="0" w:firstLine="0" w:firstLineChars="0"/>
              <w:jc w:val="center"/>
              <w:textAlignment w:val="bottom"/>
              <w:rPr>
                <w:rFonts w:ascii="Times New Roman" w:eastAsia="宋体" w:hAnsi="Times New Roman" w:cs="宋体"/>
                <w:color w:val="auto"/>
                <w:szCs w:val="21"/>
                <w:highlight w:val="none"/>
              </w:rPr>
            </w:pPr>
            <w:r>
              <w:rPr>
                <w:rFonts w:ascii="Times New Roman" w:eastAsia="宋体" w:hAnsi="Times New Roman" w:cs="宋体" w:hint="eastAsia"/>
                <w:color w:val="auto"/>
                <w:kern w:val="0"/>
                <w:szCs w:val="21"/>
                <w:highlight w:val="none"/>
                <w:lang w:bidi="ar"/>
              </w:rPr>
              <w:t>玉州区</w:t>
            </w:r>
          </w:p>
        </w:tc>
        <w:tc>
          <w:tcPr>
            <w:tcW w:w="0" w:type="auto"/>
            <w:tcBorders>
              <w:top w:val="nil"/>
              <w:left w:val="nil"/>
              <w:bottom w:val="single" w:sz="8" w:space="0" w:color="000000"/>
              <w:right w:val="single" w:sz="8" w:space="0" w:color="000000"/>
            </w:tcBorders>
            <w:shd w:val="clear" w:color="auto" w:fill="auto"/>
            <w:noWrap/>
            <w:vAlign w:val="center"/>
          </w:tcPr>
          <w:p>
            <w:pPr>
              <w:widowControl/>
              <w:spacing w:line="240" w:lineRule="auto"/>
              <w:ind w:left="0" w:firstLine="0" w:firstLineChars="0"/>
              <w:jc w:val="center"/>
              <w:textAlignment w:val="bottom"/>
              <w:rPr>
                <w:rFonts w:ascii="Times New Roman" w:eastAsia="宋体" w:hAnsi="Times New Roman" w:cs="宋体"/>
                <w:color w:val="auto"/>
                <w:szCs w:val="21"/>
                <w:highlight w:val="none"/>
              </w:rPr>
            </w:pPr>
            <w:r>
              <w:rPr>
                <w:color w:val="auto"/>
                <w:highlight w:val="none"/>
              </w:rPr>
              <w:t>1561</w:t>
            </w:r>
          </w:p>
        </w:tc>
        <w:tc>
          <w:tcPr>
            <w:tcW w:w="0" w:type="auto"/>
            <w:tcBorders>
              <w:top w:val="nil"/>
              <w:left w:val="nil"/>
              <w:bottom w:val="single" w:sz="8" w:space="0" w:color="000000"/>
              <w:right w:val="single" w:sz="8" w:space="0" w:color="000000"/>
            </w:tcBorders>
            <w:shd w:val="clear" w:color="auto" w:fill="auto"/>
            <w:vAlign w:val="center"/>
          </w:tcPr>
          <w:p>
            <w:pPr>
              <w:widowControl/>
              <w:spacing w:line="240" w:lineRule="auto"/>
              <w:ind w:left="0" w:firstLine="0" w:firstLineChars="0"/>
              <w:jc w:val="center"/>
              <w:textAlignment w:val="bottom"/>
              <w:rPr>
                <w:rFonts w:ascii="Times New Roman" w:eastAsia="宋体" w:hAnsi="Times New Roman" w:cs="宋体"/>
                <w:color w:val="auto"/>
                <w:szCs w:val="21"/>
                <w:highlight w:val="none"/>
              </w:rPr>
            </w:pPr>
            <w:r>
              <w:rPr>
                <w:color w:val="auto"/>
                <w:highlight w:val="none"/>
              </w:rPr>
              <w:t>469</w:t>
            </w:r>
          </w:p>
        </w:tc>
        <w:tc>
          <w:tcPr>
            <w:tcW w:w="0" w:type="auto"/>
            <w:tcBorders>
              <w:top w:val="nil"/>
              <w:left w:val="nil"/>
              <w:bottom w:val="single" w:sz="8" w:space="0" w:color="000000"/>
              <w:right w:val="single" w:sz="8" w:space="0" w:color="000000"/>
            </w:tcBorders>
            <w:shd w:val="clear" w:color="auto" w:fill="auto"/>
            <w:noWrap/>
            <w:vAlign w:val="center"/>
          </w:tcPr>
          <w:p>
            <w:pPr>
              <w:widowControl/>
              <w:spacing w:line="240" w:lineRule="auto"/>
              <w:ind w:left="0" w:firstLine="0" w:firstLineChars="0"/>
              <w:jc w:val="center"/>
              <w:textAlignment w:val="bottom"/>
              <w:rPr>
                <w:rFonts w:ascii="Times New Roman" w:eastAsia="宋体" w:hAnsi="Times New Roman" w:cs="宋体"/>
                <w:color w:val="auto"/>
                <w:szCs w:val="21"/>
                <w:highlight w:val="none"/>
              </w:rPr>
            </w:pPr>
            <w:r>
              <w:rPr>
                <w:rFonts w:ascii="Times New Roman" w:eastAsia="宋体" w:hAnsi="Times New Roman" w:cs="宋体" w:hint="eastAsia"/>
                <w:color w:val="auto"/>
                <w:kern w:val="0"/>
                <w:szCs w:val="21"/>
                <w:highlight w:val="none"/>
                <w:lang w:bidi="ar"/>
              </w:rPr>
              <w:t>207</w:t>
            </w:r>
          </w:p>
        </w:tc>
      </w:tr>
      <w:tr>
        <w:tblPrEx>
          <w:tblW w:w="0" w:type="auto"/>
          <w:jc w:val="center"/>
          <w:tblCellMar>
            <w:top w:w="0" w:type="dxa"/>
            <w:left w:w="108" w:type="dxa"/>
            <w:bottom w:w="0" w:type="dxa"/>
            <w:right w:w="108" w:type="dxa"/>
          </w:tblCellMar>
        </w:tblPrEx>
        <w:trPr>
          <w:trHeight w:val="480"/>
          <w:jc w:val="center"/>
        </w:trPr>
        <w:tc>
          <w:tcPr>
            <w:tcW w:w="0" w:type="auto"/>
            <w:tcBorders>
              <w:top w:val="nil"/>
              <w:left w:val="single" w:sz="8" w:space="0" w:color="000000"/>
              <w:bottom w:val="single" w:sz="8" w:space="0" w:color="000000"/>
              <w:right w:val="single" w:sz="8" w:space="0" w:color="000000"/>
            </w:tcBorders>
            <w:shd w:val="clear" w:color="auto" w:fill="auto"/>
            <w:noWrap/>
            <w:vAlign w:val="center"/>
          </w:tcPr>
          <w:p>
            <w:pPr>
              <w:widowControl/>
              <w:spacing w:line="240" w:lineRule="auto"/>
              <w:ind w:left="0" w:firstLine="0" w:firstLineChars="0"/>
              <w:jc w:val="center"/>
              <w:textAlignment w:val="bottom"/>
              <w:rPr>
                <w:rFonts w:ascii="Times New Roman" w:eastAsia="宋体" w:hAnsi="Times New Roman" w:cs="宋体"/>
                <w:color w:val="auto"/>
                <w:szCs w:val="21"/>
                <w:highlight w:val="none"/>
              </w:rPr>
            </w:pPr>
            <w:r>
              <w:rPr>
                <w:rFonts w:ascii="Times New Roman" w:eastAsia="宋体" w:hAnsi="Times New Roman" w:cs="宋体" w:hint="eastAsia"/>
                <w:color w:val="auto"/>
                <w:kern w:val="0"/>
                <w:szCs w:val="21"/>
                <w:highlight w:val="none"/>
                <w:lang w:bidi="ar"/>
              </w:rPr>
              <w:t>福绵区</w:t>
            </w:r>
          </w:p>
        </w:tc>
        <w:tc>
          <w:tcPr>
            <w:tcW w:w="0" w:type="auto"/>
            <w:tcBorders>
              <w:top w:val="nil"/>
              <w:left w:val="nil"/>
              <w:bottom w:val="single" w:sz="8" w:space="0" w:color="000000"/>
              <w:right w:val="single" w:sz="8" w:space="0" w:color="000000"/>
            </w:tcBorders>
            <w:shd w:val="clear" w:color="auto" w:fill="auto"/>
            <w:noWrap/>
            <w:vAlign w:val="center"/>
          </w:tcPr>
          <w:p>
            <w:pPr>
              <w:widowControl/>
              <w:spacing w:line="240" w:lineRule="auto"/>
              <w:ind w:left="0" w:firstLine="0" w:firstLineChars="0"/>
              <w:jc w:val="center"/>
              <w:textAlignment w:val="bottom"/>
              <w:rPr>
                <w:rFonts w:ascii="Times New Roman" w:eastAsia="宋体" w:hAnsi="Times New Roman" w:cs="宋体"/>
                <w:color w:val="auto"/>
                <w:szCs w:val="21"/>
                <w:highlight w:val="none"/>
              </w:rPr>
            </w:pPr>
            <w:r>
              <w:rPr>
                <w:color w:val="auto"/>
                <w:highlight w:val="none"/>
              </w:rPr>
              <w:t>459</w:t>
            </w:r>
          </w:p>
        </w:tc>
        <w:tc>
          <w:tcPr>
            <w:tcW w:w="0" w:type="auto"/>
            <w:tcBorders>
              <w:top w:val="nil"/>
              <w:left w:val="nil"/>
              <w:bottom w:val="single" w:sz="8" w:space="0" w:color="000000"/>
              <w:right w:val="single" w:sz="8" w:space="0" w:color="000000"/>
            </w:tcBorders>
            <w:shd w:val="clear" w:color="auto" w:fill="auto"/>
            <w:vAlign w:val="center"/>
          </w:tcPr>
          <w:p>
            <w:pPr>
              <w:widowControl/>
              <w:spacing w:line="240" w:lineRule="auto"/>
              <w:ind w:left="0" w:firstLine="0" w:firstLineChars="0"/>
              <w:jc w:val="center"/>
              <w:textAlignment w:val="bottom"/>
              <w:rPr>
                <w:rFonts w:ascii="Times New Roman" w:eastAsia="宋体" w:hAnsi="Times New Roman" w:cs="宋体"/>
                <w:color w:val="auto"/>
                <w:szCs w:val="21"/>
                <w:highlight w:val="none"/>
              </w:rPr>
            </w:pPr>
            <w:r>
              <w:rPr>
                <w:color w:val="auto"/>
                <w:highlight w:val="none"/>
              </w:rPr>
              <w:t>20</w:t>
            </w:r>
          </w:p>
        </w:tc>
        <w:tc>
          <w:tcPr>
            <w:tcW w:w="0" w:type="auto"/>
            <w:tcBorders>
              <w:top w:val="nil"/>
              <w:left w:val="nil"/>
              <w:bottom w:val="single" w:sz="8" w:space="0" w:color="000000"/>
              <w:right w:val="single" w:sz="8" w:space="0" w:color="000000"/>
            </w:tcBorders>
            <w:shd w:val="clear" w:color="auto" w:fill="auto"/>
            <w:noWrap/>
            <w:vAlign w:val="center"/>
          </w:tcPr>
          <w:p>
            <w:pPr>
              <w:widowControl/>
              <w:spacing w:line="240" w:lineRule="auto"/>
              <w:ind w:left="0" w:firstLine="0" w:firstLineChars="0"/>
              <w:jc w:val="center"/>
              <w:textAlignment w:val="bottom"/>
              <w:rPr>
                <w:rFonts w:ascii="Times New Roman" w:eastAsia="宋体" w:hAnsi="Times New Roman" w:cs="宋体"/>
                <w:color w:val="auto"/>
                <w:szCs w:val="21"/>
                <w:highlight w:val="none"/>
              </w:rPr>
            </w:pPr>
            <w:r>
              <w:rPr>
                <w:rFonts w:ascii="Times New Roman" w:eastAsia="宋体" w:hAnsi="Times New Roman" w:cs="宋体" w:hint="eastAsia"/>
                <w:color w:val="auto"/>
                <w:kern w:val="0"/>
                <w:szCs w:val="21"/>
                <w:highlight w:val="none"/>
                <w:lang w:bidi="ar"/>
              </w:rPr>
              <w:t>91</w:t>
            </w:r>
          </w:p>
        </w:tc>
      </w:tr>
      <w:tr>
        <w:tblPrEx>
          <w:tblW w:w="0" w:type="auto"/>
          <w:jc w:val="center"/>
          <w:tblCellMar>
            <w:top w:w="0" w:type="dxa"/>
            <w:left w:w="108" w:type="dxa"/>
            <w:bottom w:w="0" w:type="dxa"/>
            <w:right w:w="108" w:type="dxa"/>
          </w:tblCellMar>
        </w:tblPrEx>
        <w:trPr>
          <w:trHeight w:val="480"/>
          <w:jc w:val="center"/>
        </w:trPr>
        <w:tc>
          <w:tcPr>
            <w:tcW w:w="0" w:type="auto"/>
            <w:tcBorders>
              <w:top w:val="nil"/>
              <w:left w:val="single" w:sz="8" w:space="0" w:color="000000"/>
              <w:bottom w:val="single" w:sz="8" w:space="0" w:color="000000"/>
              <w:right w:val="single" w:sz="8" w:space="0" w:color="000000"/>
            </w:tcBorders>
            <w:shd w:val="clear" w:color="auto" w:fill="auto"/>
            <w:noWrap/>
            <w:vAlign w:val="center"/>
          </w:tcPr>
          <w:p>
            <w:pPr>
              <w:widowControl/>
              <w:spacing w:line="240" w:lineRule="auto"/>
              <w:ind w:left="0" w:firstLine="0" w:firstLineChars="0"/>
              <w:jc w:val="center"/>
              <w:textAlignment w:val="bottom"/>
              <w:rPr>
                <w:rFonts w:ascii="Times New Roman" w:eastAsia="宋体" w:hAnsi="Times New Roman" w:cs="宋体"/>
                <w:color w:val="auto"/>
                <w:szCs w:val="21"/>
                <w:highlight w:val="none"/>
              </w:rPr>
            </w:pPr>
            <w:r>
              <w:rPr>
                <w:rFonts w:ascii="Times New Roman" w:eastAsia="宋体" w:hAnsi="Times New Roman" w:cs="宋体" w:hint="eastAsia"/>
                <w:color w:val="auto"/>
                <w:kern w:val="0"/>
                <w:szCs w:val="21"/>
                <w:highlight w:val="none"/>
                <w:lang w:bidi="ar"/>
              </w:rPr>
              <w:t>北流市</w:t>
            </w:r>
          </w:p>
        </w:tc>
        <w:tc>
          <w:tcPr>
            <w:tcW w:w="0" w:type="auto"/>
            <w:tcBorders>
              <w:top w:val="nil"/>
              <w:left w:val="nil"/>
              <w:bottom w:val="single" w:sz="8" w:space="0" w:color="000000"/>
              <w:right w:val="single" w:sz="8" w:space="0" w:color="000000"/>
            </w:tcBorders>
            <w:shd w:val="clear" w:color="auto" w:fill="auto"/>
            <w:noWrap/>
            <w:vAlign w:val="center"/>
          </w:tcPr>
          <w:p>
            <w:pPr>
              <w:widowControl/>
              <w:spacing w:line="240" w:lineRule="auto"/>
              <w:ind w:left="0" w:firstLine="0" w:firstLineChars="0"/>
              <w:jc w:val="center"/>
              <w:textAlignment w:val="bottom"/>
              <w:rPr>
                <w:rFonts w:ascii="Times New Roman" w:eastAsia="宋体" w:hAnsi="Times New Roman" w:cs="宋体"/>
                <w:color w:val="auto"/>
                <w:szCs w:val="21"/>
                <w:highlight w:val="none"/>
              </w:rPr>
            </w:pPr>
            <w:r>
              <w:rPr>
                <w:color w:val="auto"/>
                <w:highlight w:val="none"/>
              </w:rPr>
              <w:t>1515</w:t>
            </w:r>
          </w:p>
        </w:tc>
        <w:tc>
          <w:tcPr>
            <w:tcW w:w="0" w:type="auto"/>
            <w:tcBorders>
              <w:top w:val="nil"/>
              <w:left w:val="nil"/>
              <w:bottom w:val="single" w:sz="8" w:space="0" w:color="000000"/>
              <w:right w:val="single" w:sz="8" w:space="0" w:color="000000"/>
            </w:tcBorders>
            <w:shd w:val="clear" w:color="auto" w:fill="auto"/>
            <w:vAlign w:val="center"/>
          </w:tcPr>
          <w:p>
            <w:pPr>
              <w:widowControl/>
              <w:spacing w:line="240" w:lineRule="auto"/>
              <w:ind w:left="0" w:firstLine="0" w:firstLineChars="0"/>
              <w:jc w:val="center"/>
              <w:textAlignment w:val="bottom"/>
              <w:rPr>
                <w:rFonts w:ascii="Times New Roman" w:eastAsia="宋体" w:hAnsi="Times New Roman" w:cs="宋体"/>
                <w:color w:val="auto"/>
                <w:szCs w:val="21"/>
                <w:highlight w:val="none"/>
              </w:rPr>
            </w:pPr>
            <w:r>
              <w:rPr>
                <w:color w:val="auto"/>
                <w:highlight w:val="none"/>
              </w:rPr>
              <w:t>119</w:t>
            </w:r>
          </w:p>
        </w:tc>
        <w:tc>
          <w:tcPr>
            <w:tcW w:w="0" w:type="auto"/>
            <w:tcBorders>
              <w:top w:val="nil"/>
              <w:left w:val="nil"/>
              <w:bottom w:val="single" w:sz="8" w:space="0" w:color="000000"/>
              <w:right w:val="single" w:sz="8" w:space="0" w:color="000000"/>
            </w:tcBorders>
            <w:shd w:val="clear" w:color="auto" w:fill="auto"/>
            <w:noWrap/>
            <w:vAlign w:val="center"/>
          </w:tcPr>
          <w:p>
            <w:pPr>
              <w:widowControl/>
              <w:spacing w:line="240" w:lineRule="auto"/>
              <w:ind w:left="0" w:firstLine="0" w:firstLineChars="0"/>
              <w:jc w:val="center"/>
              <w:textAlignment w:val="bottom"/>
              <w:rPr>
                <w:rFonts w:ascii="Times New Roman" w:eastAsia="宋体" w:hAnsi="Times New Roman" w:cs="宋体"/>
                <w:color w:val="auto"/>
                <w:szCs w:val="21"/>
                <w:highlight w:val="none"/>
              </w:rPr>
            </w:pPr>
            <w:r>
              <w:rPr>
                <w:rFonts w:ascii="Times New Roman" w:eastAsia="宋体" w:hAnsi="Times New Roman" w:cs="宋体" w:hint="eastAsia"/>
                <w:color w:val="auto"/>
                <w:kern w:val="0"/>
                <w:szCs w:val="21"/>
                <w:highlight w:val="none"/>
                <w:lang w:bidi="ar"/>
              </w:rPr>
              <w:t>184</w:t>
            </w:r>
          </w:p>
        </w:tc>
      </w:tr>
      <w:tr>
        <w:tblPrEx>
          <w:tblW w:w="0" w:type="auto"/>
          <w:jc w:val="center"/>
          <w:tblCellMar>
            <w:top w:w="0" w:type="dxa"/>
            <w:left w:w="108" w:type="dxa"/>
            <w:bottom w:w="0" w:type="dxa"/>
            <w:right w:w="108" w:type="dxa"/>
          </w:tblCellMar>
        </w:tblPrEx>
        <w:trPr>
          <w:trHeight w:val="480"/>
          <w:jc w:val="center"/>
        </w:trPr>
        <w:tc>
          <w:tcPr>
            <w:tcW w:w="0" w:type="auto"/>
            <w:tcBorders>
              <w:top w:val="nil"/>
              <w:left w:val="single" w:sz="8" w:space="0" w:color="000000"/>
              <w:bottom w:val="single" w:sz="8" w:space="0" w:color="000000"/>
              <w:right w:val="single" w:sz="8" w:space="0" w:color="000000"/>
            </w:tcBorders>
            <w:shd w:val="clear" w:color="auto" w:fill="auto"/>
            <w:noWrap/>
            <w:vAlign w:val="center"/>
          </w:tcPr>
          <w:p>
            <w:pPr>
              <w:widowControl/>
              <w:spacing w:line="240" w:lineRule="auto"/>
              <w:ind w:left="0" w:firstLine="0" w:firstLineChars="0"/>
              <w:jc w:val="center"/>
              <w:textAlignment w:val="bottom"/>
              <w:rPr>
                <w:rFonts w:ascii="Times New Roman" w:eastAsia="宋体" w:hAnsi="Times New Roman" w:cs="宋体"/>
                <w:color w:val="auto"/>
                <w:szCs w:val="21"/>
                <w:highlight w:val="none"/>
              </w:rPr>
            </w:pPr>
            <w:r>
              <w:rPr>
                <w:rFonts w:ascii="Times New Roman" w:eastAsia="宋体" w:hAnsi="Times New Roman" w:cs="宋体" w:hint="eastAsia"/>
                <w:color w:val="auto"/>
                <w:kern w:val="0"/>
                <w:szCs w:val="21"/>
                <w:highlight w:val="none"/>
                <w:lang w:bidi="ar"/>
              </w:rPr>
              <w:t>容县</w:t>
            </w:r>
          </w:p>
        </w:tc>
        <w:tc>
          <w:tcPr>
            <w:tcW w:w="0" w:type="auto"/>
            <w:tcBorders>
              <w:top w:val="nil"/>
              <w:left w:val="nil"/>
              <w:bottom w:val="single" w:sz="8" w:space="0" w:color="000000"/>
              <w:right w:val="single" w:sz="8" w:space="0" w:color="000000"/>
            </w:tcBorders>
            <w:shd w:val="clear" w:color="auto" w:fill="auto"/>
            <w:noWrap/>
            <w:vAlign w:val="center"/>
          </w:tcPr>
          <w:p>
            <w:pPr>
              <w:widowControl/>
              <w:spacing w:line="240" w:lineRule="auto"/>
              <w:ind w:left="0" w:firstLine="0" w:firstLineChars="0"/>
              <w:jc w:val="center"/>
              <w:textAlignment w:val="bottom"/>
              <w:rPr>
                <w:rFonts w:ascii="Times New Roman" w:eastAsia="宋体" w:hAnsi="Times New Roman" w:cs="宋体"/>
                <w:color w:val="auto"/>
                <w:szCs w:val="21"/>
                <w:highlight w:val="none"/>
              </w:rPr>
            </w:pPr>
            <w:r>
              <w:rPr>
                <w:color w:val="auto"/>
                <w:highlight w:val="none"/>
              </w:rPr>
              <w:t>933</w:t>
            </w:r>
          </w:p>
        </w:tc>
        <w:tc>
          <w:tcPr>
            <w:tcW w:w="0" w:type="auto"/>
            <w:tcBorders>
              <w:top w:val="nil"/>
              <w:left w:val="nil"/>
              <w:bottom w:val="single" w:sz="8" w:space="0" w:color="000000"/>
              <w:right w:val="single" w:sz="8" w:space="0" w:color="000000"/>
            </w:tcBorders>
            <w:shd w:val="clear" w:color="auto" w:fill="auto"/>
            <w:vAlign w:val="center"/>
          </w:tcPr>
          <w:p>
            <w:pPr>
              <w:widowControl/>
              <w:spacing w:line="240" w:lineRule="auto"/>
              <w:ind w:left="0" w:firstLine="0" w:firstLineChars="0"/>
              <w:jc w:val="center"/>
              <w:textAlignment w:val="bottom"/>
              <w:rPr>
                <w:rFonts w:ascii="Times New Roman" w:eastAsia="宋体" w:hAnsi="Times New Roman" w:cs="宋体"/>
                <w:color w:val="auto"/>
                <w:szCs w:val="21"/>
                <w:highlight w:val="none"/>
              </w:rPr>
            </w:pPr>
            <w:r>
              <w:rPr>
                <w:color w:val="auto"/>
                <w:highlight w:val="none"/>
              </w:rPr>
              <w:t>62</w:t>
            </w:r>
          </w:p>
        </w:tc>
        <w:tc>
          <w:tcPr>
            <w:tcW w:w="0" w:type="auto"/>
            <w:tcBorders>
              <w:top w:val="nil"/>
              <w:left w:val="nil"/>
              <w:bottom w:val="single" w:sz="8" w:space="0" w:color="000000"/>
              <w:right w:val="single" w:sz="8" w:space="0" w:color="000000"/>
            </w:tcBorders>
            <w:shd w:val="clear" w:color="auto" w:fill="auto"/>
            <w:noWrap/>
            <w:vAlign w:val="center"/>
          </w:tcPr>
          <w:p>
            <w:pPr>
              <w:widowControl/>
              <w:spacing w:line="240" w:lineRule="auto"/>
              <w:ind w:left="0" w:firstLine="0" w:firstLineChars="0"/>
              <w:jc w:val="center"/>
              <w:textAlignment w:val="bottom"/>
              <w:rPr>
                <w:rFonts w:ascii="Times New Roman" w:eastAsia="宋体" w:hAnsi="Times New Roman" w:cs="宋体"/>
                <w:color w:val="auto"/>
                <w:szCs w:val="21"/>
                <w:highlight w:val="none"/>
              </w:rPr>
            </w:pPr>
            <w:r>
              <w:rPr>
                <w:rFonts w:ascii="Times New Roman" w:eastAsia="宋体" w:hAnsi="Times New Roman" w:cs="宋体" w:hint="eastAsia"/>
                <w:color w:val="auto"/>
                <w:kern w:val="0"/>
                <w:szCs w:val="21"/>
                <w:highlight w:val="none"/>
                <w:lang w:bidi="ar"/>
              </w:rPr>
              <w:t>127</w:t>
            </w:r>
          </w:p>
        </w:tc>
      </w:tr>
      <w:tr>
        <w:tblPrEx>
          <w:tblW w:w="0" w:type="auto"/>
          <w:jc w:val="center"/>
          <w:tblCellMar>
            <w:top w:w="0" w:type="dxa"/>
            <w:left w:w="108" w:type="dxa"/>
            <w:bottom w:w="0" w:type="dxa"/>
            <w:right w:w="108" w:type="dxa"/>
          </w:tblCellMar>
        </w:tblPrEx>
        <w:trPr>
          <w:trHeight w:val="480"/>
          <w:jc w:val="center"/>
        </w:trPr>
        <w:tc>
          <w:tcPr>
            <w:tcW w:w="0" w:type="auto"/>
            <w:tcBorders>
              <w:top w:val="nil"/>
              <w:left w:val="single" w:sz="8" w:space="0" w:color="000000"/>
              <w:bottom w:val="single" w:sz="8" w:space="0" w:color="000000"/>
              <w:right w:val="single" w:sz="8" w:space="0" w:color="000000"/>
            </w:tcBorders>
            <w:shd w:val="clear" w:color="auto" w:fill="auto"/>
            <w:noWrap/>
            <w:vAlign w:val="center"/>
          </w:tcPr>
          <w:p>
            <w:pPr>
              <w:widowControl/>
              <w:spacing w:line="240" w:lineRule="auto"/>
              <w:ind w:left="0" w:firstLine="0" w:firstLineChars="0"/>
              <w:jc w:val="center"/>
              <w:textAlignment w:val="bottom"/>
              <w:rPr>
                <w:rFonts w:ascii="Times New Roman" w:eastAsia="宋体" w:hAnsi="Times New Roman" w:cs="宋体"/>
                <w:color w:val="auto"/>
                <w:szCs w:val="21"/>
                <w:highlight w:val="none"/>
              </w:rPr>
            </w:pPr>
            <w:r>
              <w:rPr>
                <w:rFonts w:ascii="Times New Roman" w:eastAsia="宋体" w:hAnsi="Times New Roman" w:cs="宋体" w:hint="eastAsia"/>
                <w:color w:val="auto"/>
                <w:kern w:val="0"/>
                <w:szCs w:val="21"/>
                <w:highlight w:val="none"/>
                <w:lang w:bidi="ar"/>
              </w:rPr>
              <w:t>博白县</w:t>
            </w:r>
          </w:p>
        </w:tc>
        <w:tc>
          <w:tcPr>
            <w:tcW w:w="0" w:type="auto"/>
            <w:tcBorders>
              <w:top w:val="nil"/>
              <w:left w:val="nil"/>
              <w:bottom w:val="single" w:sz="8" w:space="0" w:color="000000"/>
              <w:right w:val="single" w:sz="8" w:space="0" w:color="000000"/>
            </w:tcBorders>
            <w:shd w:val="clear" w:color="auto" w:fill="auto"/>
            <w:noWrap/>
            <w:vAlign w:val="center"/>
          </w:tcPr>
          <w:p>
            <w:pPr>
              <w:widowControl/>
              <w:spacing w:line="240" w:lineRule="auto"/>
              <w:ind w:left="0" w:firstLine="0" w:firstLineChars="0"/>
              <w:jc w:val="center"/>
              <w:textAlignment w:val="bottom"/>
              <w:rPr>
                <w:rFonts w:ascii="Times New Roman" w:eastAsia="宋体" w:hAnsi="Times New Roman" w:cs="宋体"/>
                <w:color w:val="auto"/>
                <w:szCs w:val="21"/>
                <w:highlight w:val="none"/>
              </w:rPr>
            </w:pPr>
            <w:r>
              <w:rPr>
                <w:color w:val="auto"/>
                <w:highlight w:val="none"/>
              </w:rPr>
              <w:t>1496</w:t>
            </w:r>
          </w:p>
        </w:tc>
        <w:tc>
          <w:tcPr>
            <w:tcW w:w="0" w:type="auto"/>
            <w:tcBorders>
              <w:top w:val="nil"/>
              <w:left w:val="nil"/>
              <w:bottom w:val="single" w:sz="8" w:space="0" w:color="000000"/>
              <w:right w:val="single" w:sz="8" w:space="0" w:color="000000"/>
            </w:tcBorders>
            <w:shd w:val="clear" w:color="auto" w:fill="auto"/>
            <w:vAlign w:val="center"/>
          </w:tcPr>
          <w:p>
            <w:pPr>
              <w:widowControl/>
              <w:spacing w:line="240" w:lineRule="auto"/>
              <w:ind w:left="0" w:firstLine="0" w:firstLineChars="0"/>
              <w:jc w:val="center"/>
              <w:textAlignment w:val="bottom"/>
              <w:rPr>
                <w:rFonts w:ascii="Times New Roman" w:eastAsia="宋体" w:hAnsi="Times New Roman" w:cs="宋体"/>
                <w:color w:val="auto"/>
                <w:szCs w:val="21"/>
                <w:highlight w:val="none"/>
              </w:rPr>
            </w:pPr>
            <w:r>
              <w:rPr>
                <w:color w:val="auto"/>
                <w:highlight w:val="none"/>
              </w:rPr>
              <w:t>101</w:t>
            </w:r>
          </w:p>
        </w:tc>
        <w:tc>
          <w:tcPr>
            <w:tcW w:w="0" w:type="auto"/>
            <w:tcBorders>
              <w:top w:val="nil"/>
              <w:left w:val="nil"/>
              <w:bottom w:val="single" w:sz="8" w:space="0" w:color="000000"/>
              <w:right w:val="single" w:sz="8" w:space="0" w:color="000000"/>
            </w:tcBorders>
            <w:shd w:val="clear" w:color="auto" w:fill="auto"/>
            <w:noWrap/>
            <w:vAlign w:val="center"/>
          </w:tcPr>
          <w:p>
            <w:pPr>
              <w:widowControl/>
              <w:spacing w:line="240" w:lineRule="auto"/>
              <w:ind w:left="0" w:firstLine="0" w:firstLineChars="0"/>
              <w:jc w:val="center"/>
              <w:textAlignment w:val="bottom"/>
              <w:rPr>
                <w:rFonts w:ascii="Times New Roman" w:eastAsia="宋体" w:hAnsi="Times New Roman" w:cs="宋体"/>
                <w:color w:val="auto"/>
                <w:szCs w:val="21"/>
                <w:highlight w:val="none"/>
              </w:rPr>
            </w:pPr>
            <w:r>
              <w:rPr>
                <w:rFonts w:ascii="Times New Roman" w:eastAsia="宋体" w:hAnsi="Times New Roman" w:cs="宋体" w:hint="eastAsia"/>
                <w:color w:val="auto"/>
                <w:kern w:val="0"/>
                <w:szCs w:val="21"/>
                <w:highlight w:val="none"/>
                <w:lang w:bidi="ar"/>
              </w:rPr>
              <w:t>168</w:t>
            </w:r>
          </w:p>
        </w:tc>
      </w:tr>
      <w:tr>
        <w:tblPrEx>
          <w:tblW w:w="0" w:type="auto"/>
          <w:jc w:val="center"/>
          <w:tblCellMar>
            <w:top w:w="0" w:type="dxa"/>
            <w:left w:w="108" w:type="dxa"/>
            <w:bottom w:w="0" w:type="dxa"/>
            <w:right w:w="108" w:type="dxa"/>
          </w:tblCellMar>
        </w:tblPrEx>
        <w:trPr>
          <w:trHeight w:val="480"/>
          <w:jc w:val="center"/>
        </w:trPr>
        <w:tc>
          <w:tcPr>
            <w:tcW w:w="0" w:type="auto"/>
            <w:tcBorders>
              <w:top w:val="nil"/>
              <w:left w:val="single" w:sz="8" w:space="0" w:color="000000"/>
              <w:bottom w:val="single" w:sz="8" w:space="0" w:color="000000"/>
              <w:right w:val="single" w:sz="8" w:space="0" w:color="000000"/>
            </w:tcBorders>
            <w:shd w:val="clear" w:color="auto" w:fill="auto"/>
            <w:noWrap/>
            <w:vAlign w:val="center"/>
          </w:tcPr>
          <w:p>
            <w:pPr>
              <w:widowControl/>
              <w:spacing w:line="240" w:lineRule="auto"/>
              <w:ind w:left="0" w:firstLine="0" w:firstLineChars="0"/>
              <w:jc w:val="center"/>
              <w:textAlignment w:val="bottom"/>
              <w:rPr>
                <w:rFonts w:ascii="Times New Roman" w:eastAsia="宋体" w:hAnsi="Times New Roman" w:cs="宋体"/>
                <w:color w:val="auto"/>
                <w:szCs w:val="21"/>
                <w:highlight w:val="none"/>
              </w:rPr>
            </w:pPr>
            <w:r>
              <w:rPr>
                <w:rFonts w:ascii="Times New Roman" w:eastAsia="宋体" w:hAnsi="Times New Roman" w:cs="宋体" w:hint="eastAsia"/>
                <w:color w:val="auto"/>
                <w:kern w:val="0"/>
                <w:szCs w:val="21"/>
                <w:highlight w:val="none"/>
                <w:lang w:bidi="ar"/>
              </w:rPr>
              <w:t>陆川县</w:t>
            </w:r>
          </w:p>
        </w:tc>
        <w:tc>
          <w:tcPr>
            <w:tcW w:w="0" w:type="auto"/>
            <w:tcBorders>
              <w:top w:val="nil"/>
              <w:left w:val="nil"/>
              <w:bottom w:val="single" w:sz="8" w:space="0" w:color="000000"/>
              <w:right w:val="single" w:sz="8" w:space="0" w:color="000000"/>
            </w:tcBorders>
            <w:shd w:val="clear" w:color="auto" w:fill="auto"/>
            <w:noWrap/>
            <w:vAlign w:val="center"/>
          </w:tcPr>
          <w:p>
            <w:pPr>
              <w:widowControl/>
              <w:spacing w:line="240" w:lineRule="auto"/>
              <w:ind w:left="0" w:firstLine="0" w:firstLineChars="0"/>
              <w:jc w:val="center"/>
              <w:textAlignment w:val="bottom"/>
              <w:rPr>
                <w:rFonts w:ascii="Times New Roman" w:eastAsia="宋体" w:hAnsi="Times New Roman" w:cs="宋体"/>
                <w:color w:val="auto"/>
                <w:szCs w:val="21"/>
                <w:highlight w:val="none"/>
              </w:rPr>
            </w:pPr>
            <w:r>
              <w:rPr>
                <w:color w:val="auto"/>
                <w:highlight w:val="none"/>
              </w:rPr>
              <w:t>900</w:t>
            </w:r>
          </w:p>
        </w:tc>
        <w:tc>
          <w:tcPr>
            <w:tcW w:w="0" w:type="auto"/>
            <w:tcBorders>
              <w:top w:val="nil"/>
              <w:left w:val="nil"/>
              <w:bottom w:val="single" w:sz="8" w:space="0" w:color="000000"/>
              <w:right w:val="single" w:sz="8" w:space="0" w:color="000000"/>
            </w:tcBorders>
            <w:shd w:val="clear" w:color="auto" w:fill="auto"/>
            <w:vAlign w:val="center"/>
          </w:tcPr>
          <w:p>
            <w:pPr>
              <w:widowControl/>
              <w:spacing w:line="240" w:lineRule="auto"/>
              <w:ind w:left="0" w:firstLine="0" w:firstLineChars="0"/>
              <w:jc w:val="center"/>
              <w:textAlignment w:val="bottom"/>
              <w:rPr>
                <w:rFonts w:ascii="Times New Roman" w:eastAsia="宋体" w:hAnsi="Times New Roman" w:cs="宋体"/>
                <w:color w:val="auto"/>
                <w:szCs w:val="21"/>
                <w:highlight w:val="none"/>
              </w:rPr>
            </w:pPr>
            <w:r>
              <w:rPr>
                <w:color w:val="auto"/>
                <w:highlight w:val="none"/>
              </w:rPr>
              <w:t>49</w:t>
            </w:r>
          </w:p>
        </w:tc>
        <w:tc>
          <w:tcPr>
            <w:tcW w:w="0" w:type="auto"/>
            <w:tcBorders>
              <w:top w:val="nil"/>
              <w:left w:val="nil"/>
              <w:bottom w:val="single" w:sz="8" w:space="0" w:color="000000"/>
              <w:right w:val="single" w:sz="8" w:space="0" w:color="000000"/>
            </w:tcBorders>
            <w:shd w:val="clear" w:color="auto" w:fill="auto"/>
            <w:noWrap/>
            <w:vAlign w:val="center"/>
          </w:tcPr>
          <w:p>
            <w:pPr>
              <w:widowControl/>
              <w:spacing w:line="240" w:lineRule="auto"/>
              <w:ind w:left="0" w:firstLine="0" w:firstLineChars="0"/>
              <w:jc w:val="center"/>
              <w:textAlignment w:val="bottom"/>
              <w:rPr>
                <w:rFonts w:ascii="Times New Roman" w:eastAsia="宋体" w:hAnsi="Times New Roman" w:cs="宋体"/>
                <w:color w:val="auto"/>
                <w:szCs w:val="21"/>
                <w:highlight w:val="none"/>
              </w:rPr>
            </w:pPr>
            <w:r>
              <w:rPr>
                <w:rFonts w:ascii="Times New Roman" w:eastAsia="宋体" w:hAnsi="Times New Roman" w:cs="宋体" w:hint="eastAsia"/>
                <w:color w:val="auto"/>
                <w:kern w:val="0"/>
                <w:szCs w:val="21"/>
                <w:highlight w:val="none"/>
                <w:lang w:bidi="ar"/>
              </w:rPr>
              <w:t>63</w:t>
            </w:r>
          </w:p>
        </w:tc>
      </w:tr>
      <w:tr>
        <w:tblPrEx>
          <w:tblW w:w="0" w:type="auto"/>
          <w:jc w:val="center"/>
          <w:tblCellMar>
            <w:top w:w="0" w:type="dxa"/>
            <w:left w:w="108" w:type="dxa"/>
            <w:bottom w:w="0" w:type="dxa"/>
            <w:right w:w="108" w:type="dxa"/>
          </w:tblCellMar>
        </w:tblPrEx>
        <w:trPr>
          <w:trHeight w:val="480"/>
          <w:jc w:val="center"/>
        </w:trPr>
        <w:tc>
          <w:tcPr>
            <w:tcW w:w="0" w:type="auto"/>
            <w:tcBorders>
              <w:top w:val="nil"/>
              <w:left w:val="single" w:sz="8" w:space="0" w:color="000000"/>
              <w:bottom w:val="single" w:sz="8" w:space="0" w:color="000000"/>
              <w:right w:val="single" w:sz="8" w:space="0" w:color="000000"/>
            </w:tcBorders>
            <w:shd w:val="clear" w:color="auto" w:fill="auto"/>
            <w:noWrap/>
            <w:vAlign w:val="center"/>
          </w:tcPr>
          <w:p>
            <w:pPr>
              <w:widowControl/>
              <w:spacing w:line="240" w:lineRule="auto"/>
              <w:ind w:left="0" w:firstLine="0" w:firstLineChars="0"/>
              <w:jc w:val="center"/>
              <w:textAlignment w:val="bottom"/>
              <w:rPr>
                <w:rFonts w:ascii="Times New Roman" w:eastAsia="宋体" w:hAnsi="Times New Roman" w:cs="宋体"/>
                <w:color w:val="auto"/>
                <w:szCs w:val="21"/>
                <w:highlight w:val="none"/>
              </w:rPr>
            </w:pPr>
            <w:r>
              <w:rPr>
                <w:rFonts w:ascii="Times New Roman" w:eastAsia="宋体" w:hAnsi="Times New Roman" w:cs="宋体" w:hint="eastAsia"/>
                <w:color w:val="auto"/>
                <w:kern w:val="0"/>
                <w:szCs w:val="21"/>
                <w:highlight w:val="none"/>
                <w:lang w:bidi="ar"/>
              </w:rPr>
              <w:t>兴业县</w:t>
            </w:r>
          </w:p>
        </w:tc>
        <w:tc>
          <w:tcPr>
            <w:tcW w:w="0" w:type="auto"/>
            <w:tcBorders>
              <w:top w:val="nil"/>
              <w:left w:val="nil"/>
              <w:bottom w:val="single" w:sz="8" w:space="0" w:color="000000"/>
              <w:right w:val="single" w:sz="8" w:space="0" w:color="000000"/>
            </w:tcBorders>
            <w:shd w:val="clear" w:color="auto" w:fill="auto"/>
            <w:noWrap/>
            <w:vAlign w:val="center"/>
          </w:tcPr>
          <w:p>
            <w:pPr>
              <w:widowControl/>
              <w:spacing w:line="240" w:lineRule="auto"/>
              <w:ind w:left="0" w:firstLine="0" w:firstLineChars="0"/>
              <w:jc w:val="center"/>
              <w:textAlignment w:val="bottom"/>
              <w:rPr>
                <w:rFonts w:ascii="Times New Roman" w:eastAsia="宋体" w:hAnsi="Times New Roman" w:cs="宋体"/>
                <w:color w:val="auto"/>
                <w:szCs w:val="21"/>
                <w:highlight w:val="none"/>
              </w:rPr>
            </w:pPr>
            <w:r>
              <w:rPr>
                <w:color w:val="auto"/>
                <w:highlight w:val="none"/>
              </w:rPr>
              <w:t>771</w:t>
            </w:r>
          </w:p>
        </w:tc>
        <w:tc>
          <w:tcPr>
            <w:tcW w:w="0" w:type="auto"/>
            <w:tcBorders>
              <w:top w:val="nil"/>
              <w:left w:val="nil"/>
              <w:bottom w:val="single" w:sz="8" w:space="0" w:color="000000"/>
              <w:right w:val="single" w:sz="8" w:space="0" w:color="000000"/>
            </w:tcBorders>
            <w:shd w:val="clear" w:color="auto" w:fill="auto"/>
            <w:vAlign w:val="center"/>
          </w:tcPr>
          <w:p>
            <w:pPr>
              <w:widowControl/>
              <w:spacing w:line="240" w:lineRule="auto"/>
              <w:ind w:left="0" w:firstLine="0" w:firstLineChars="0"/>
              <w:jc w:val="center"/>
              <w:textAlignment w:val="bottom"/>
              <w:rPr>
                <w:rFonts w:ascii="Times New Roman" w:eastAsia="宋体" w:hAnsi="Times New Roman" w:cs="宋体"/>
                <w:color w:val="auto"/>
                <w:szCs w:val="21"/>
                <w:highlight w:val="none"/>
              </w:rPr>
            </w:pPr>
            <w:r>
              <w:rPr>
                <w:color w:val="auto"/>
                <w:highlight w:val="none"/>
              </w:rPr>
              <w:t>33</w:t>
            </w:r>
          </w:p>
        </w:tc>
        <w:tc>
          <w:tcPr>
            <w:tcW w:w="0" w:type="auto"/>
            <w:tcBorders>
              <w:top w:val="nil"/>
              <w:left w:val="nil"/>
              <w:bottom w:val="single" w:sz="8" w:space="0" w:color="000000"/>
              <w:right w:val="single" w:sz="8" w:space="0" w:color="000000"/>
            </w:tcBorders>
            <w:shd w:val="clear" w:color="auto" w:fill="auto"/>
            <w:noWrap/>
            <w:vAlign w:val="center"/>
          </w:tcPr>
          <w:p>
            <w:pPr>
              <w:widowControl/>
              <w:spacing w:line="240" w:lineRule="auto"/>
              <w:ind w:left="0" w:firstLine="0" w:firstLineChars="0"/>
              <w:jc w:val="center"/>
              <w:textAlignment w:val="bottom"/>
              <w:rPr>
                <w:rFonts w:ascii="Times New Roman" w:eastAsia="宋体" w:hAnsi="Times New Roman" w:cs="宋体"/>
                <w:color w:val="auto"/>
                <w:szCs w:val="21"/>
                <w:highlight w:val="none"/>
              </w:rPr>
            </w:pPr>
            <w:r>
              <w:rPr>
                <w:rFonts w:ascii="Times New Roman" w:eastAsia="宋体" w:hAnsi="Times New Roman" w:cs="宋体" w:hint="eastAsia"/>
                <w:color w:val="auto"/>
                <w:kern w:val="0"/>
                <w:szCs w:val="21"/>
                <w:highlight w:val="none"/>
                <w:lang w:bidi="ar"/>
              </w:rPr>
              <w:t>175</w:t>
            </w:r>
          </w:p>
        </w:tc>
      </w:tr>
      <w:tr>
        <w:tblPrEx>
          <w:tblW w:w="0" w:type="auto"/>
          <w:jc w:val="center"/>
          <w:tblCellMar>
            <w:top w:w="0" w:type="dxa"/>
            <w:left w:w="108" w:type="dxa"/>
            <w:bottom w:w="0" w:type="dxa"/>
            <w:right w:w="108" w:type="dxa"/>
          </w:tblCellMar>
        </w:tblPrEx>
        <w:trPr>
          <w:trHeight w:val="480"/>
          <w:jc w:val="center"/>
        </w:trPr>
        <w:tc>
          <w:tcPr>
            <w:tcW w:w="0" w:type="auto"/>
            <w:tcBorders>
              <w:top w:val="nil"/>
              <w:left w:val="single" w:sz="8" w:space="0" w:color="000000"/>
              <w:bottom w:val="single" w:sz="8" w:space="0" w:color="000000"/>
              <w:right w:val="single" w:sz="8" w:space="0" w:color="000000"/>
            </w:tcBorders>
            <w:shd w:val="clear" w:color="auto" w:fill="auto"/>
            <w:noWrap/>
            <w:vAlign w:val="center"/>
          </w:tcPr>
          <w:p>
            <w:pPr>
              <w:widowControl/>
              <w:spacing w:line="240" w:lineRule="auto"/>
              <w:ind w:left="0" w:firstLine="0" w:firstLineChars="0"/>
              <w:jc w:val="center"/>
              <w:textAlignment w:val="bottom"/>
              <w:rPr>
                <w:rFonts w:ascii="Times New Roman" w:eastAsia="宋体" w:hAnsi="Times New Roman" w:cs="宋体"/>
                <w:color w:val="auto"/>
                <w:szCs w:val="21"/>
                <w:highlight w:val="none"/>
              </w:rPr>
            </w:pPr>
            <w:r>
              <w:rPr>
                <w:rFonts w:ascii="Times New Roman" w:eastAsia="宋体" w:hAnsi="Times New Roman" w:cs="宋体" w:hint="eastAsia"/>
                <w:color w:val="auto"/>
                <w:kern w:val="0"/>
                <w:szCs w:val="21"/>
                <w:highlight w:val="none"/>
                <w:lang w:bidi="ar"/>
              </w:rPr>
              <w:t>合计</w:t>
            </w:r>
          </w:p>
        </w:tc>
        <w:tc>
          <w:tcPr>
            <w:tcW w:w="0" w:type="auto"/>
            <w:tcBorders>
              <w:top w:val="nil"/>
              <w:left w:val="nil"/>
              <w:bottom w:val="single" w:sz="8" w:space="0" w:color="000000"/>
              <w:right w:val="single" w:sz="8" w:space="0" w:color="000000"/>
            </w:tcBorders>
            <w:shd w:val="clear" w:color="auto" w:fill="auto"/>
            <w:noWrap/>
            <w:vAlign w:val="center"/>
          </w:tcPr>
          <w:p>
            <w:pPr>
              <w:widowControl/>
              <w:spacing w:line="240" w:lineRule="auto"/>
              <w:ind w:left="0" w:firstLine="0" w:firstLineChars="0"/>
              <w:jc w:val="center"/>
              <w:textAlignment w:val="bottom"/>
              <w:rPr>
                <w:rFonts w:ascii="Times New Roman" w:eastAsia="宋体" w:hAnsi="Times New Roman" w:cs="宋体"/>
                <w:color w:val="auto"/>
                <w:szCs w:val="21"/>
                <w:highlight w:val="none"/>
              </w:rPr>
            </w:pPr>
            <w:r>
              <w:rPr>
                <w:color w:val="auto"/>
                <w:highlight w:val="none"/>
              </w:rPr>
              <w:t>7635</w:t>
            </w:r>
          </w:p>
        </w:tc>
        <w:tc>
          <w:tcPr>
            <w:tcW w:w="0" w:type="auto"/>
            <w:tcBorders>
              <w:top w:val="nil"/>
              <w:left w:val="nil"/>
              <w:bottom w:val="single" w:sz="8" w:space="0" w:color="000000"/>
              <w:right w:val="single" w:sz="8" w:space="0" w:color="000000"/>
            </w:tcBorders>
            <w:shd w:val="clear" w:color="auto" w:fill="auto"/>
            <w:vAlign w:val="center"/>
          </w:tcPr>
          <w:p>
            <w:pPr>
              <w:widowControl/>
              <w:spacing w:line="240" w:lineRule="auto"/>
              <w:ind w:left="0" w:firstLine="0" w:firstLineChars="0"/>
              <w:jc w:val="center"/>
              <w:textAlignment w:val="bottom"/>
              <w:rPr>
                <w:rFonts w:ascii="Times New Roman" w:eastAsia="宋体" w:hAnsi="Times New Roman" w:cs="宋体"/>
                <w:color w:val="auto"/>
                <w:szCs w:val="21"/>
                <w:highlight w:val="none"/>
              </w:rPr>
            </w:pPr>
            <w:r>
              <w:rPr>
                <w:color w:val="auto"/>
                <w:highlight w:val="none"/>
              </w:rPr>
              <w:t>853</w:t>
            </w:r>
          </w:p>
        </w:tc>
        <w:tc>
          <w:tcPr>
            <w:tcW w:w="0" w:type="auto"/>
            <w:tcBorders>
              <w:top w:val="nil"/>
              <w:left w:val="nil"/>
              <w:bottom w:val="single" w:sz="8" w:space="0" w:color="000000"/>
              <w:right w:val="single" w:sz="8" w:space="0" w:color="000000"/>
            </w:tcBorders>
            <w:shd w:val="clear" w:color="auto" w:fill="auto"/>
            <w:noWrap/>
            <w:vAlign w:val="center"/>
          </w:tcPr>
          <w:p>
            <w:pPr>
              <w:widowControl/>
              <w:spacing w:line="240" w:lineRule="auto"/>
              <w:ind w:left="0" w:firstLine="0" w:firstLineChars="0"/>
              <w:jc w:val="center"/>
              <w:textAlignment w:val="bottom"/>
              <w:rPr>
                <w:rFonts w:ascii="Times New Roman" w:eastAsia="宋体" w:hAnsi="Times New Roman" w:cs="宋体"/>
                <w:color w:val="auto"/>
                <w:szCs w:val="21"/>
                <w:highlight w:val="none"/>
              </w:rPr>
            </w:pPr>
            <w:r>
              <w:rPr>
                <w:rFonts w:ascii="Times New Roman" w:eastAsia="宋体" w:hAnsi="Times New Roman" w:cs="宋体" w:hint="eastAsia"/>
                <w:color w:val="auto"/>
                <w:kern w:val="0"/>
                <w:szCs w:val="21"/>
                <w:highlight w:val="none"/>
                <w:lang w:bidi="ar"/>
              </w:rPr>
              <w:t>1015</w:t>
            </w:r>
          </w:p>
        </w:tc>
      </w:tr>
    </w:tbl>
    <w:p>
      <w:pPr>
        <w:spacing w:line="240" w:lineRule="auto"/>
        <w:ind w:left="0" w:firstLine="422"/>
        <w:jc w:val="center"/>
        <w:rPr>
          <w:rFonts w:ascii="Times New Roman" w:eastAsia="宋体" w:hAnsi="Times New Roman" w:hint="eastAsia"/>
          <w:b/>
          <w:bCs/>
          <w:color w:val="auto"/>
          <w:szCs w:val="21"/>
          <w:highlight w:val="none"/>
        </w:rPr>
      </w:pPr>
    </w:p>
    <w:p>
      <w:pPr>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2、</w:t>
      </w:r>
      <w:bookmarkEnd w:id="15"/>
      <w:r>
        <w:rPr>
          <w:rFonts w:ascii="Times New Roman" w:eastAsia="宋体" w:hAnsi="Times New Roman" w:hint="eastAsia"/>
          <w:color w:val="auto"/>
          <w:sz w:val="24"/>
          <w:highlight w:val="none"/>
        </w:rPr>
        <w:t>通信传输基础设施现状</w:t>
      </w:r>
    </w:p>
    <w:p>
      <w:pPr>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截止至202</w:t>
      </w:r>
      <w:r>
        <w:rPr>
          <w:rFonts w:ascii="Times New Roman" w:eastAsia="宋体" w:hAnsi="Times New Roman" w:hint="eastAsia"/>
          <w:color w:val="auto"/>
          <w:sz w:val="24"/>
          <w:highlight w:val="none"/>
          <w:lang w:val="en-US" w:eastAsia="zh-CN"/>
        </w:rPr>
        <w:t>3</w:t>
      </w:r>
      <w:r>
        <w:rPr>
          <w:rFonts w:ascii="Times New Roman" w:eastAsia="宋体" w:hAnsi="Times New Roman" w:hint="eastAsia"/>
          <w:color w:val="auto"/>
          <w:sz w:val="24"/>
          <w:highlight w:val="none"/>
        </w:rPr>
        <w:t>年底，玉林市共有传输线路光节点</w:t>
      </w:r>
      <w:r>
        <w:rPr>
          <w:rFonts w:ascii="Times New Roman" w:eastAsia="宋体" w:hAnsi="Times New Roman"/>
          <w:color w:val="auto"/>
          <w:sz w:val="24"/>
          <w:highlight w:val="none"/>
        </w:rPr>
        <w:t>718</w:t>
      </w:r>
      <w:r>
        <w:rPr>
          <w:rFonts w:ascii="Times New Roman" w:eastAsia="宋体" w:hAnsi="Times New Roman" w:hint="eastAsia"/>
          <w:color w:val="auto"/>
          <w:sz w:val="24"/>
          <w:highlight w:val="none"/>
        </w:rPr>
        <w:t>个，传输管道总长度</w:t>
      </w:r>
      <w:r>
        <w:rPr>
          <w:rFonts w:ascii="Times New Roman" w:eastAsia="宋体" w:hAnsi="Times New Roman"/>
          <w:color w:val="auto"/>
          <w:sz w:val="24"/>
          <w:highlight w:val="none"/>
        </w:rPr>
        <w:t>2582.90</w:t>
      </w:r>
      <w:r>
        <w:rPr>
          <w:rFonts w:ascii="Times New Roman" w:eastAsia="宋体" w:hAnsi="Times New Roman" w:hint="eastAsia"/>
          <w:color w:val="auto"/>
          <w:sz w:val="24"/>
          <w:highlight w:val="none"/>
        </w:rPr>
        <w:t>公里，传输杆路总长度</w:t>
      </w:r>
      <w:r>
        <w:rPr>
          <w:rFonts w:ascii="Times New Roman" w:eastAsia="宋体" w:hAnsi="Times New Roman"/>
          <w:color w:val="auto"/>
          <w:sz w:val="24"/>
          <w:highlight w:val="none"/>
        </w:rPr>
        <w:t>4213.10</w:t>
      </w:r>
      <w:r>
        <w:rPr>
          <w:rFonts w:ascii="Times New Roman" w:eastAsia="宋体" w:hAnsi="Times New Roman" w:hint="eastAsia"/>
          <w:color w:val="auto"/>
          <w:sz w:val="24"/>
          <w:highlight w:val="none"/>
        </w:rPr>
        <w:t>公里。各区县通信传输基础设施现状详见下表所示：</w:t>
      </w:r>
    </w:p>
    <w:p>
      <w:pPr>
        <w:spacing w:line="240" w:lineRule="auto"/>
        <w:ind w:left="0" w:firstLine="422"/>
        <w:jc w:val="center"/>
        <w:rPr>
          <w:rFonts w:ascii="Times New Roman" w:eastAsia="宋体" w:hAnsi="Times New Roman"/>
          <w:b/>
          <w:bCs/>
          <w:color w:val="auto"/>
          <w:szCs w:val="21"/>
          <w:highlight w:val="none"/>
        </w:rPr>
      </w:pPr>
      <w:r>
        <w:rPr>
          <w:rFonts w:ascii="Times New Roman" w:eastAsia="宋体" w:hAnsi="Times New Roman" w:hint="eastAsia"/>
          <w:b/>
          <w:bCs/>
          <w:color w:val="auto"/>
          <w:szCs w:val="21"/>
          <w:highlight w:val="none"/>
        </w:rPr>
        <w:t>表3-2  通信传输基础设施现状</w:t>
      </w:r>
    </w:p>
    <w:tbl>
      <w:tblPr>
        <w:tblStyle w:val="TableNormal"/>
        <w:tblW w:w="40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542"/>
        <w:gridCol w:w="2093"/>
        <w:gridCol w:w="2103"/>
        <w:gridCol w:w="2528"/>
      </w:tblGrid>
      <w:tr>
        <w:tblPrEx>
          <w:tblW w:w="40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810"/>
          <w:tblHeader/>
          <w:jc w:val="center"/>
        </w:trPr>
        <w:tc>
          <w:tcPr>
            <w:tcW w:w="933" w:type="pct"/>
            <w:shd w:val="clear" w:color="auto" w:fill="auto"/>
            <w:vAlign w:val="center"/>
          </w:tcPr>
          <w:p>
            <w:pPr>
              <w:widowControl/>
              <w:spacing w:line="240" w:lineRule="auto"/>
              <w:ind w:left="0" w:firstLine="0" w:firstLineChars="0"/>
              <w:jc w:val="center"/>
              <w:rPr>
                <w:rFonts w:ascii="Times New Roman" w:eastAsia="宋体" w:hAnsi="Times New Roman" w:cs="宋体"/>
                <w:b/>
                <w:bCs/>
                <w:color w:val="auto"/>
                <w:kern w:val="0"/>
                <w:szCs w:val="21"/>
                <w:highlight w:val="none"/>
              </w:rPr>
            </w:pPr>
            <w:r>
              <w:rPr>
                <w:rFonts w:ascii="Times New Roman" w:eastAsia="宋体" w:hAnsi="Times New Roman"/>
                <w:color w:val="auto"/>
                <w:szCs w:val="21"/>
                <w:highlight w:val="none"/>
              </w:rPr>
              <w:br w:type="page"/>
            </w:r>
            <w:r>
              <w:rPr>
                <w:rFonts w:ascii="Times New Roman" w:eastAsia="宋体" w:hAnsi="Times New Roman" w:cs="宋体" w:hint="eastAsia"/>
                <w:b/>
                <w:bCs/>
                <w:color w:val="auto"/>
                <w:kern w:val="0"/>
                <w:szCs w:val="21"/>
                <w:highlight w:val="none"/>
              </w:rPr>
              <w:t>区县</w:t>
            </w:r>
          </w:p>
        </w:tc>
        <w:tc>
          <w:tcPr>
            <w:tcW w:w="1266" w:type="pct"/>
            <w:shd w:val="clear" w:color="auto" w:fill="auto"/>
            <w:vAlign w:val="center"/>
          </w:tcPr>
          <w:p>
            <w:pPr>
              <w:widowControl/>
              <w:spacing w:line="240" w:lineRule="auto"/>
              <w:ind w:left="0" w:firstLine="0" w:firstLineChars="0"/>
              <w:jc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传输线路光交节点数</w:t>
            </w:r>
          </w:p>
        </w:tc>
        <w:tc>
          <w:tcPr>
            <w:tcW w:w="1272" w:type="pct"/>
            <w:vAlign w:val="center"/>
          </w:tcPr>
          <w:p>
            <w:pPr>
              <w:widowControl/>
              <w:spacing w:line="240" w:lineRule="auto"/>
              <w:ind w:left="0" w:firstLine="0" w:firstLineChars="0"/>
              <w:jc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传输管道总长度</w:t>
            </w:r>
          </w:p>
        </w:tc>
        <w:tc>
          <w:tcPr>
            <w:tcW w:w="1527" w:type="pct"/>
            <w:shd w:val="clear" w:color="auto" w:fill="auto"/>
            <w:vAlign w:val="center"/>
          </w:tcPr>
          <w:p>
            <w:pPr>
              <w:widowControl/>
              <w:spacing w:line="240" w:lineRule="auto"/>
              <w:ind w:left="0" w:firstLine="0" w:firstLineChars="0"/>
              <w:jc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传输杆路总长度</w:t>
            </w:r>
          </w:p>
        </w:tc>
      </w:tr>
      <w:tr>
        <w:tblPrEx>
          <w:tblW w:w="4075" w:type="pct"/>
          <w:jc w:val="center"/>
          <w:tblCellMar>
            <w:top w:w="0" w:type="dxa"/>
            <w:left w:w="108" w:type="dxa"/>
            <w:bottom w:w="0" w:type="dxa"/>
            <w:right w:w="108" w:type="dxa"/>
          </w:tblCellMar>
        </w:tblPrEx>
        <w:trPr>
          <w:trHeight w:val="270"/>
          <w:tblHeader/>
          <w:jc w:val="center"/>
        </w:trPr>
        <w:tc>
          <w:tcPr>
            <w:tcW w:w="933" w:type="pct"/>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玉州区</w:t>
            </w:r>
          </w:p>
        </w:tc>
        <w:tc>
          <w:tcPr>
            <w:tcW w:w="214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leftChars="0" w:firstLineChars="0"/>
              <w:jc w:val="center"/>
              <w:textAlignment w:val="center"/>
              <w:rPr>
                <w:rFonts w:ascii="Times New Roman" w:eastAsia="宋体" w:hAnsi="Times New Roman" w:cs="Times New Roman" w:hint="default"/>
                <w:color w:val="auto"/>
                <w:kern w:val="0"/>
                <w:szCs w:val="21"/>
                <w:highlight w:val="none"/>
              </w:rPr>
            </w:pPr>
            <w:r>
              <w:rPr>
                <w:rFonts w:ascii="Times New Roman" w:eastAsia="宋体" w:hAnsi="Times New Roman" w:cs="Times New Roman" w:hint="default"/>
                <w:i w:val="0"/>
                <w:iCs w:val="0"/>
                <w:color w:val="000000"/>
                <w:kern w:val="0"/>
                <w:sz w:val="21"/>
                <w:szCs w:val="21"/>
                <w:u w:val="none"/>
                <w:lang w:val="en-US" w:eastAsia="zh-CN" w:bidi="ar"/>
              </w:rPr>
              <w:t>399</w:t>
            </w:r>
          </w:p>
        </w:tc>
        <w:tc>
          <w:tcPr>
            <w:tcW w:w="215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leftChars="0" w:firstLineChars="0"/>
              <w:jc w:val="center"/>
              <w:textAlignment w:val="center"/>
              <w:rPr>
                <w:rFonts w:ascii="Times New Roman" w:eastAsia="宋体" w:hAnsi="Times New Roman" w:cs="Times New Roman" w:hint="default"/>
                <w:color w:val="auto"/>
                <w:kern w:val="0"/>
                <w:szCs w:val="21"/>
                <w:highlight w:val="none"/>
              </w:rPr>
            </w:pPr>
            <w:r>
              <w:rPr>
                <w:rFonts w:ascii="Times New Roman" w:eastAsia="宋体" w:hAnsi="Times New Roman" w:cs="Times New Roman" w:hint="default"/>
                <w:i w:val="0"/>
                <w:iCs w:val="0"/>
                <w:color w:val="000000"/>
                <w:kern w:val="0"/>
                <w:sz w:val="21"/>
                <w:szCs w:val="21"/>
                <w:u w:val="none"/>
                <w:lang w:val="en-US" w:eastAsia="zh-CN" w:bidi="ar"/>
              </w:rPr>
              <w:t>1281.97</w:t>
            </w:r>
          </w:p>
        </w:tc>
        <w:tc>
          <w:tcPr>
            <w:tcW w:w="258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leftChars="0" w:firstLineChars="0"/>
              <w:jc w:val="center"/>
              <w:textAlignment w:val="center"/>
              <w:rPr>
                <w:rFonts w:ascii="Times New Roman" w:eastAsia="宋体" w:hAnsi="Times New Roman" w:cs="Times New Roman" w:hint="default"/>
                <w:color w:val="auto"/>
                <w:kern w:val="0"/>
                <w:szCs w:val="21"/>
                <w:highlight w:val="none"/>
              </w:rPr>
            </w:pPr>
            <w:r>
              <w:rPr>
                <w:rFonts w:ascii="Times New Roman" w:eastAsia="宋体" w:hAnsi="Times New Roman" w:cs="Times New Roman" w:hint="default"/>
                <w:i w:val="0"/>
                <w:iCs w:val="0"/>
                <w:color w:val="000000"/>
                <w:kern w:val="0"/>
                <w:sz w:val="21"/>
                <w:szCs w:val="21"/>
                <w:u w:val="none"/>
                <w:lang w:val="en-US" w:eastAsia="zh-CN" w:bidi="ar"/>
              </w:rPr>
              <w:t>640.44</w:t>
            </w:r>
          </w:p>
        </w:tc>
      </w:tr>
      <w:tr>
        <w:tblPrEx>
          <w:tblW w:w="4075" w:type="pct"/>
          <w:jc w:val="center"/>
          <w:tblCellMar>
            <w:top w:w="0" w:type="dxa"/>
            <w:left w:w="108" w:type="dxa"/>
            <w:bottom w:w="0" w:type="dxa"/>
            <w:right w:w="108" w:type="dxa"/>
          </w:tblCellMar>
        </w:tblPrEx>
        <w:trPr>
          <w:trHeight w:val="270"/>
          <w:tblHeader/>
          <w:jc w:val="center"/>
        </w:trPr>
        <w:tc>
          <w:tcPr>
            <w:tcW w:w="933" w:type="pct"/>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福绵区</w:t>
            </w:r>
          </w:p>
        </w:tc>
        <w:tc>
          <w:tcPr>
            <w:tcW w:w="214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leftChars="0" w:firstLineChars="0"/>
              <w:jc w:val="center"/>
              <w:textAlignment w:val="center"/>
              <w:rPr>
                <w:rFonts w:ascii="Times New Roman" w:eastAsia="宋体" w:hAnsi="Times New Roman" w:cs="Times New Roman" w:hint="default"/>
                <w:color w:val="auto"/>
                <w:kern w:val="0"/>
                <w:szCs w:val="21"/>
                <w:highlight w:val="none"/>
              </w:rPr>
            </w:pPr>
            <w:r>
              <w:rPr>
                <w:rFonts w:ascii="Times New Roman" w:eastAsia="宋体" w:hAnsi="Times New Roman" w:cs="Times New Roman" w:hint="default"/>
                <w:i w:val="0"/>
                <w:iCs w:val="0"/>
                <w:color w:val="000000"/>
                <w:kern w:val="0"/>
                <w:sz w:val="21"/>
                <w:szCs w:val="21"/>
                <w:u w:val="none"/>
                <w:lang w:val="en-US" w:eastAsia="zh-CN" w:bidi="ar"/>
              </w:rPr>
              <w:t>15</w:t>
            </w:r>
          </w:p>
        </w:tc>
        <w:tc>
          <w:tcPr>
            <w:tcW w:w="215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leftChars="0" w:firstLineChars="0"/>
              <w:jc w:val="center"/>
              <w:textAlignment w:val="center"/>
              <w:rPr>
                <w:rFonts w:ascii="Times New Roman" w:eastAsia="宋体" w:hAnsi="Times New Roman" w:cs="Times New Roman" w:hint="default"/>
                <w:color w:val="auto"/>
                <w:kern w:val="0"/>
                <w:szCs w:val="21"/>
                <w:highlight w:val="none"/>
              </w:rPr>
            </w:pPr>
            <w:r>
              <w:rPr>
                <w:rFonts w:ascii="Times New Roman" w:eastAsia="宋体" w:hAnsi="Times New Roman" w:cs="Times New Roman" w:hint="default"/>
                <w:i w:val="0"/>
                <w:iCs w:val="0"/>
                <w:color w:val="000000"/>
                <w:kern w:val="0"/>
                <w:sz w:val="21"/>
                <w:szCs w:val="21"/>
                <w:u w:val="none"/>
                <w:lang w:val="en-US" w:eastAsia="zh-CN" w:bidi="ar"/>
              </w:rPr>
              <w:t>57.93</w:t>
            </w:r>
          </w:p>
        </w:tc>
        <w:tc>
          <w:tcPr>
            <w:tcW w:w="258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leftChars="0" w:firstLineChars="0"/>
              <w:jc w:val="center"/>
              <w:textAlignment w:val="center"/>
              <w:rPr>
                <w:rFonts w:ascii="Times New Roman" w:eastAsia="宋体" w:hAnsi="Times New Roman" w:cs="Times New Roman" w:hint="default"/>
                <w:color w:val="auto"/>
                <w:kern w:val="0"/>
                <w:szCs w:val="21"/>
                <w:highlight w:val="none"/>
                <w:lang w:val="en-US" w:eastAsia="zh-CN"/>
              </w:rPr>
            </w:pPr>
            <w:r>
              <w:rPr>
                <w:rFonts w:ascii="Times New Roman" w:eastAsia="宋体" w:hAnsi="Times New Roman" w:cs="Times New Roman" w:hint="default"/>
                <w:i w:val="0"/>
                <w:iCs w:val="0"/>
                <w:color w:val="000000"/>
                <w:kern w:val="0"/>
                <w:sz w:val="21"/>
                <w:szCs w:val="21"/>
                <w:u w:val="none"/>
                <w:lang w:val="en-US" w:eastAsia="zh-CN" w:bidi="ar"/>
              </w:rPr>
              <w:t>212.47</w:t>
            </w:r>
          </w:p>
        </w:tc>
      </w:tr>
      <w:tr>
        <w:tblPrEx>
          <w:tblW w:w="4075" w:type="pct"/>
          <w:jc w:val="center"/>
          <w:tblCellMar>
            <w:top w:w="0" w:type="dxa"/>
            <w:left w:w="108" w:type="dxa"/>
            <w:bottom w:w="0" w:type="dxa"/>
            <w:right w:w="108" w:type="dxa"/>
          </w:tblCellMar>
        </w:tblPrEx>
        <w:trPr>
          <w:trHeight w:val="90"/>
          <w:tblHeader/>
          <w:jc w:val="center"/>
        </w:trPr>
        <w:tc>
          <w:tcPr>
            <w:tcW w:w="933" w:type="pct"/>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北流市</w:t>
            </w:r>
          </w:p>
        </w:tc>
        <w:tc>
          <w:tcPr>
            <w:tcW w:w="214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leftChars="0" w:firstLineChars="0"/>
              <w:jc w:val="center"/>
              <w:textAlignment w:val="center"/>
              <w:rPr>
                <w:rFonts w:ascii="Times New Roman" w:eastAsia="宋体" w:hAnsi="Times New Roman" w:cs="Times New Roman" w:hint="default"/>
                <w:color w:val="auto"/>
                <w:kern w:val="0"/>
                <w:szCs w:val="21"/>
                <w:highlight w:val="none"/>
              </w:rPr>
            </w:pPr>
            <w:r>
              <w:rPr>
                <w:rFonts w:ascii="Times New Roman" w:eastAsia="宋体" w:hAnsi="Times New Roman" w:cs="Times New Roman" w:hint="default"/>
                <w:i w:val="0"/>
                <w:iCs w:val="0"/>
                <w:color w:val="000000"/>
                <w:kern w:val="0"/>
                <w:sz w:val="21"/>
                <w:szCs w:val="21"/>
                <w:u w:val="none"/>
                <w:lang w:val="en-US" w:eastAsia="zh-CN" w:bidi="ar"/>
              </w:rPr>
              <w:t>75</w:t>
            </w:r>
          </w:p>
        </w:tc>
        <w:tc>
          <w:tcPr>
            <w:tcW w:w="215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leftChars="0" w:firstLineChars="0"/>
              <w:jc w:val="center"/>
              <w:textAlignment w:val="center"/>
              <w:rPr>
                <w:rFonts w:ascii="Times New Roman" w:eastAsia="宋体" w:hAnsi="Times New Roman" w:cs="Times New Roman" w:hint="default"/>
                <w:color w:val="auto"/>
                <w:kern w:val="0"/>
                <w:szCs w:val="21"/>
                <w:highlight w:val="none"/>
              </w:rPr>
            </w:pPr>
            <w:r>
              <w:rPr>
                <w:rFonts w:ascii="Times New Roman" w:eastAsia="宋体" w:hAnsi="Times New Roman" w:cs="Times New Roman" w:hint="default"/>
                <w:i w:val="0"/>
                <w:iCs w:val="0"/>
                <w:color w:val="000000"/>
                <w:kern w:val="0"/>
                <w:sz w:val="21"/>
                <w:szCs w:val="21"/>
                <w:u w:val="none"/>
                <w:lang w:val="en-US" w:eastAsia="zh-CN" w:bidi="ar"/>
              </w:rPr>
              <w:t>373.87</w:t>
            </w:r>
          </w:p>
        </w:tc>
        <w:tc>
          <w:tcPr>
            <w:tcW w:w="258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leftChars="0" w:firstLineChars="0"/>
              <w:jc w:val="center"/>
              <w:textAlignment w:val="center"/>
              <w:rPr>
                <w:rFonts w:ascii="Times New Roman" w:eastAsia="宋体" w:hAnsi="Times New Roman" w:cs="Times New Roman" w:hint="default"/>
                <w:color w:val="auto"/>
                <w:kern w:val="0"/>
                <w:szCs w:val="21"/>
                <w:highlight w:val="none"/>
              </w:rPr>
            </w:pPr>
            <w:r>
              <w:rPr>
                <w:rFonts w:ascii="Times New Roman" w:eastAsia="宋体" w:hAnsi="Times New Roman" w:cs="Times New Roman" w:hint="default"/>
                <w:i w:val="0"/>
                <w:iCs w:val="0"/>
                <w:color w:val="000000"/>
                <w:kern w:val="0"/>
                <w:sz w:val="21"/>
                <w:szCs w:val="21"/>
                <w:u w:val="none"/>
                <w:lang w:val="en-US" w:eastAsia="zh-CN" w:bidi="ar"/>
              </w:rPr>
              <w:t>713.61</w:t>
            </w:r>
          </w:p>
        </w:tc>
      </w:tr>
      <w:tr>
        <w:tblPrEx>
          <w:tblW w:w="4075" w:type="pct"/>
          <w:jc w:val="center"/>
          <w:tblCellMar>
            <w:top w:w="0" w:type="dxa"/>
            <w:left w:w="108" w:type="dxa"/>
            <w:bottom w:w="0" w:type="dxa"/>
            <w:right w:w="108" w:type="dxa"/>
          </w:tblCellMar>
        </w:tblPrEx>
        <w:trPr>
          <w:trHeight w:val="270"/>
          <w:tblHeader/>
          <w:jc w:val="center"/>
        </w:trPr>
        <w:tc>
          <w:tcPr>
            <w:tcW w:w="933" w:type="pct"/>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容县</w:t>
            </w:r>
          </w:p>
        </w:tc>
        <w:tc>
          <w:tcPr>
            <w:tcW w:w="214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leftChars="0" w:firstLineChars="0"/>
              <w:jc w:val="center"/>
              <w:textAlignment w:val="center"/>
              <w:rPr>
                <w:rFonts w:ascii="Times New Roman" w:eastAsia="宋体" w:hAnsi="Times New Roman" w:cs="Times New Roman" w:hint="default"/>
                <w:color w:val="auto"/>
                <w:kern w:val="0"/>
                <w:szCs w:val="21"/>
                <w:highlight w:val="none"/>
              </w:rPr>
            </w:pPr>
            <w:r>
              <w:rPr>
                <w:rFonts w:ascii="Times New Roman" w:eastAsia="宋体" w:hAnsi="Times New Roman" w:cs="Times New Roman" w:hint="default"/>
                <w:i w:val="0"/>
                <w:iCs w:val="0"/>
                <w:color w:val="000000"/>
                <w:kern w:val="0"/>
                <w:sz w:val="21"/>
                <w:szCs w:val="21"/>
                <w:u w:val="none"/>
                <w:lang w:val="en-US" w:eastAsia="zh-CN" w:bidi="ar"/>
              </w:rPr>
              <w:t>49</w:t>
            </w:r>
          </w:p>
        </w:tc>
        <w:tc>
          <w:tcPr>
            <w:tcW w:w="215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leftChars="0" w:firstLineChars="0"/>
              <w:jc w:val="center"/>
              <w:textAlignment w:val="center"/>
              <w:rPr>
                <w:rFonts w:ascii="Times New Roman" w:eastAsia="宋体" w:hAnsi="Times New Roman" w:cs="Times New Roman" w:hint="default"/>
                <w:color w:val="auto"/>
                <w:kern w:val="0"/>
                <w:szCs w:val="21"/>
                <w:highlight w:val="none"/>
              </w:rPr>
            </w:pPr>
            <w:r>
              <w:rPr>
                <w:rFonts w:ascii="Times New Roman" w:eastAsia="宋体" w:hAnsi="Times New Roman" w:cs="Times New Roman" w:hint="default"/>
                <w:i w:val="0"/>
                <w:iCs w:val="0"/>
                <w:color w:val="000000"/>
                <w:kern w:val="0"/>
                <w:sz w:val="21"/>
                <w:szCs w:val="21"/>
                <w:u w:val="none"/>
                <w:lang w:val="en-US" w:eastAsia="zh-CN" w:bidi="ar"/>
              </w:rPr>
              <w:t>275.36</w:t>
            </w:r>
          </w:p>
        </w:tc>
        <w:tc>
          <w:tcPr>
            <w:tcW w:w="258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leftChars="0" w:firstLineChars="0"/>
              <w:jc w:val="center"/>
              <w:textAlignment w:val="center"/>
              <w:rPr>
                <w:rFonts w:ascii="Times New Roman" w:eastAsia="宋体" w:hAnsi="Times New Roman" w:cs="Times New Roman" w:hint="default"/>
                <w:color w:val="auto"/>
                <w:kern w:val="0"/>
                <w:szCs w:val="21"/>
                <w:highlight w:val="none"/>
              </w:rPr>
            </w:pPr>
            <w:r>
              <w:rPr>
                <w:rFonts w:ascii="Times New Roman" w:eastAsia="宋体" w:hAnsi="Times New Roman" w:cs="Times New Roman" w:hint="default"/>
                <w:i w:val="0"/>
                <w:iCs w:val="0"/>
                <w:color w:val="000000"/>
                <w:kern w:val="0"/>
                <w:sz w:val="21"/>
                <w:szCs w:val="21"/>
                <w:u w:val="none"/>
                <w:lang w:val="en-US" w:eastAsia="zh-CN" w:bidi="ar"/>
              </w:rPr>
              <w:t>873.87</w:t>
            </w:r>
          </w:p>
        </w:tc>
      </w:tr>
      <w:tr>
        <w:tblPrEx>
          <w:tblW w:w="4075" w:type="pct"/>
          <w:jc w:val="center"/>
          <w:tblCellMar>
            <w:top w:w="0" w:type="dxa"/>
            <w:left w:w="108" w:type="dxa"/>
            <w:bottom w:w="0" w:type="dxa"/>
            <w:right w:w="108" w:type="dxa"/>
          </w:tblCellMar>
        </w:tblPrEx>
        <w:trPr>
          <w:trHeight w:val="270"/>
          <w:tblHeader/>
          <w:jc w:val="center"/>
        </w:trPr>
        <w:tc>
          <w:tcPr>
            <w:tcW w:w="933" w:type="pct"/>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博白县</w:t>
            </w:r>
          </w:p>
        </w:tc>
        <w:tc>
          <w:tcPr>
            <w:tcW w:w="214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leftChars="0" w:firstLineChars="0"/>
              <w:jc w:val="center"/>
              <w:textAlignment w:val="center"/>
              <w:rPr>
                <w:rFonts w:ascii="Times New Roman" w:eastAsia="宋体" w:hAnsi="Times New Roman" w:cs="Times New Roman" w:hint="default"/>
                <w:color w:val="auto"/>
                <w:kern w:val="0"/>
                <w:szCs w:val="21"/>
                <w:highlight w:val="none"/>
              </w:rPr>
            </w:pPr>
            <w:r>
              <w:rPr>
                <w:rFonts w:ascii="Times New Roman" w:eastAsia="宋体" w:hAnsi="Times New Roman" w:cs="Times New Roman" w:hint="default"/>
                <w:i w:val="0"/>
                <w:iCs w:val="0"/>
                <w:color w:val="000000"/>
                <w:kern w:val="0"/>
                <w:sz w:val="21"/>
                <w:szCs w:val="21"/>
                <w:u w:val="none"/>
                <w:lang w:val="en-US" w:eastAsia="zh-CN" w:bidi="ar"/>
              </w:rPr>
              <w:t>86</w:t>
            </w:r>
          </w:p>
        </w:tc>
        <w:tc>
          <w:tcPr>
            <w:tcW w:w="215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leftChars="0" w:firstLineChars="0"/>
              <w:jc w:val="center"/>
              <w:textAlignment w:val="center"/>
              <w:rPr>
                <w:rFonts w:ascii="Times New Roman" w:eastAsia="宋体" w:hAnsi="Times New Roman" w:cs="Times New Roman" w:hint="default"/>
                <w:color w:val="auto"/>
                <w:kern w:val="0"/>
                <w:szCs w:val="21"/>
                <w:highlight w:val="none"/>
              </w:rPr>
            </w:pPr>
            <w:r>
              <w:rPr>
                <w:rFonts w:ascii="Times New Roman" w:eastAsia="宋体" w:hAnsi="Times New Roman" w:cs="Times New Roman" w:hint="default"/>
                <w:i w:val="0"/>
                <w:iCs w:val="0"/>
                <w:color w:val="000000"/>
                <w:kern w:val="0"/>
                <w:sz w:val="21"/>
                <w:szCs w:val="21"/>
                <w:u w:val="none"/>
                <w:lang w:val="en-US" w:eastAsia="zh-CN" w:bidi="ar"/>
              </w:rPr>
              <w:t>271.67</w:t>
            </w:r>
          </w:p>
        </w:tc>
        <w:tc>
          <w:tcPr>
            <w:tcW w:w="258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leftChars="0" w:firstLineChars="0"/>
              <w:jc w:val="center"/>
              <w:textAlignment w:val="center"/>
              <w:rPr>
                <w:rFonts w:ascii="Times New Roman" w:eastAsia="宋体" w:hAnsi="Times New Roman" w:cs="Times New Roman" w:hint="default"/>
                <w:color w:val="auto"/>
                <w:kern w:val="0"/>
                <w:szCs w:val="21"/>
                <w:highlight w:val="none"/>
              </w:rPr>
            </w:pPr>
            <w:r>
              <w:rPr>
                <w:rFonts w:ascii="Times New Roman" w:eastAsia="宋体" w:hAnsi="Times New Roman" w:cs="Times New Roman" w:hint="default"/>
                <w:i w:val="0"/>
                <w:iCs w:val="0"/>
                <w:color w:val="000000"/>
                <w:kern w:val="0"/>
                <w:sz w:val="21"/>
                <w:szCs w:val="21"/>
                <w:u w:val="none"/>
                <w:lang w:val="en-US" w:eastAsia="zh-CN" w:bidi="ar"/>
              </w:rPr>
              <w:t>1294.27</w:t>
            </w:r>
          </w:p>
        </w:tc>
      </w:tr>
      <w:tr>
        <w:tblPrEx>
          <w:tblW w:w="4075" w:type="pct"/>
          <w:jc w:val="center"/>
          <w:tblCellMar>
            <w:top w:w="0" w:type="dxa"/>
            <w:left w:w="108" w:type="dxa"/>
            <w:bottom w:w="0" w:type="dxa"/>
            <w:right w:w="108" w:type="dxa"/>
          </w:tblCellMar>
        </w:tblPrEx>
        <w:trPr>
          <w:trHeight w:val="270"/>
          <w:tblHeader/>
          <w:jc w:val="center"/>
        </w:trPr>
        <w:tc>
          <w:tcPr>
            <w:tcW w:w="933" w:type="pct"/>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陆川县</w:t>
            </w:r>
          </w:p>
        </w:tc>
        <w:tc>
          <w:tcPr>
            <w:tcW w:w="214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leftChars="0" w:firstLineChars="0"/>
              <w:jc w:val="center"/>
              <w:textAlignment w:val="center"/>
              <w:rPr>
                <w:rFonts w:ascii="Times New Roman" w:eastAsia="宋体" w:hAnsi="Times New Roman" w:cs="Times New Roman" w:hint="default"/>
                <w:color w:val="auto"/>
                <w:kern w:val="0"/>
                <w:szCs w:val="21"/>
                <w:highlight w:val="none"/>
              </w:rPr>
            </w:pPr>
            <w:r>
              <w:rPr>
                <w:rFonts w:ascii="Times New Roman" w:eastAsia="宋体" w:hAnsi="Times New Roman" w:cs="Times New Roman" w:hint="default"/>
                <w:i w:val="0"/>
                <w:iCs w:val="0"/>
                <w:color w:val="000000"/>
                <w:kern w:val="0"/>
                <w:sz w:val="21"/>
                <w:szCs w:val="21"/>
                <w:u w:val="none"/>
                <w:lang w:val="en-US" w:eastAsia="zh-CN" w:bidi="ar"/>
              </w:rPr>
              <w:t>36</w:t>
            </w:r>
          </w:p>
        </w:tc>
        <w:tc>
          <w:tcPr>
            <w:tcW w:w="215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leftChars="0" w:firstLineChars="0"/>
              <w:jc w:val="center"/>
              <w:textAlignment w:val="center"/>
              <w:rPr>
                <w:rFonts w:ascii="Times New Roman" w:eastAsia="宋体" w:hAnsi="Times New Roman" w:cs="Times New Roman" w:hint="default"/>
                <w:color w:val="auto"/>
                <w:kern w:val="0"/>
                <w:szCs w:val="21"/>
                <w:highlight w:val="none"/>
              </w:rPr>
            </w:pPr>
            <w:r>
              <w:rPr>
                <w:rFonts w:ascii="Times New Roman" w:eastAsia="宋体" w:hAnsi="Times New Roman" w:cs="Times New Roman" w:hint="default"/>
                <w:i w:val="0"/>
                <w:iCs w:val="0"/>
                <w:color w:val="000000"/>
                <w:kern w:val="0"/>
                <w:sz w:val="21"/>
                <w:szCs w:val="21"/>
                <w:u w:val="none"/>
                <w:lang w:val="en-US" w:eastAsia="zh-CN" w:bidi="ar"/>
              </w:rPr>
              <w:t>187.29</w:t>
            </w:r>
          </w:p>
        </w:tc>
        <w:tc>
          <w:tcPr>
            <w:tcW w:w="258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leftChars="0" w:firstLineChars="0"/>
              <w:jc w:val="center"/>
              <w:textAlignment w:val="center"/>
              <w:rPr>
                <w:rFonts w:ascii="Times New Roman" w:eastAsia="宋体" w:hAnsi="Times New Roman" w:cs="Times New Roman" w:hint="default"/>
                <w:color w:val="auto"/>
                <w:kern w:val="0"/>
                <w:szCs w:val="21"/>
                <w:highlight w:val="none"/>
              </w:rPr>
            </w:pPr>
            <w:r>
              <w:rPr>
                <w:rFonts w:ascii="Times New Roman" w:eastAsia="宋体" w:hAnsi="Times New Roman" w:cs="Times New Roman" w:hint="default"/>
                <w:i w:val="0"/>
                <w:iCs w:val="0"/>
                <w:color w:val="000000"/>
                <w:kern w:val="0"/>
                <w:sz w:val="21"/>
                <w:szCs w:val="21"/>
                <w:u w:val="none"/>
                <w:lang w:val="en-US" w:eastAsia="zh-CN" w:bidi="ar"/>
              </w:rPr>
              <w:t>286.06</w:t>
            </w:r>
          </w:p>
        </w:tc>
      </w:tr>
      <w:tr>
        <w:tblPrEx>
          <w:tblW w:w="4075" w:type="pct"/>
          <w:jc w:val="center"/>
          <w:tblCellMar>
            <w:top w:w="0" w:type="dxa"/>
            <w:left w:w="108" w:type="dxa"/>
            <w:bottom w:w="0" w:type="dxa"/>
            <w:right w:w="108" w:type="dxa"/>
          </w:tblCellMar>
        </w:tblPrEx>
        <w:trPr>
          <w:trHeight w:val="270"/>
          <w:tblHeader/>
          <w:jc w:val="center"/>
        </w:trPr>
        <w:tc>
          <w:tcPr>
            <w:tcW w:w="933" w:type="pct"/>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兴业县</w:t>
            </w:r>
          </w:p>
        </w:tc>
        <w:tc>
          <w:tcPr>
            <w:tcW w:w="214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leftChars="0" w:firstLineChars="0"/>
              <w:jc w:val="center"/>
              <w:textAlignment w:val="center"/>
              <w:rPr>
                <w:rFonts w:ascii="Times New Roman" w:eastAsia="宋体" w:hAnsi="Times New Roman" w:cs="Times New Roman" w:hint="default"/>
                <w:color w:val="auto"/>
                <w:kern w:val="0"/>
                <w:szCs w:val="21"/>
                <w:highlight w:val="none"/>
              </w:rPr>
            </w:pPr>
            <w:r>
              <w:rPr>
                <w:rFonts w:ascii="Times New Roman" w:eastAsia="宋体" w:hAnsi="Times New Roman" w:cs="Times New Roman" w:hint="default"/>
                <w:i w:val="0"/>
                <w:iCs w:val="0"/>
                <w:color w:val="000000"/>
                <w:kern w:val="0"/>
                <w:sz w:val="21"/>
                <w:szCs w:val="21"/>
                <w:u w:val="none"/>
                <w:lang w:val="en-US" w:eastAsia="zh-CN" w:bidi="ar"/>
              </w:rPr>
              <w:t>58</w:t>
            </w:r>
          </w:p>
        </w:tc>
        <w:tc>
          <w:tcPr>
            <w:tcW w:w="215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leftChars="0" w:firstLineChars="0"/>
              <w:jc w:val="center"/>
              <w:textAlignment w:val="center"/>
              <w:rPr>
                <w:rFonts w:ascii="Times New Roman" w:eastAsia="宋体" w:hAnsi="Times New Roman" w:cs="Times New Roman" w:hint="default"/>
                <w:color w:val="auto"/>
                <w:kern w:val="0"/>
                <w:szCs w:val="21"/>
                <w:highlight w:val="none"/>
              </w:rPr>
            </w:pPr>
            <w:r>
              <w:rPr>
                <w:rFonts w:ascii="Times New Roman" w:eastAsia="宋体" w:hAnsi="Times New Roman" w:cs="Times New Roman" w:hint="default"/>
                <w:i w:val="0"/>
                <w:iCs w:val="0"/>
                <w:color w:val="000000"/>
                <w:kern w:val="0"/>
                <w:sz w:val="21"/>
                <w:szCs w:val="21"/>
                <w:u w:val="none"/>
                <w:lang w:val="en-US" w:eastAsia="zh-CN" w:bidi="ar"/>
              </w:rPr>
              <w:t>134.81</w:t>
            </w:r>
          </w:p>
        </w:tc>
        <w:tc>
          <w:tcPr>
            <w:tcW w:w="258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leftChars="0" w:firstLineChars="0"/>
              <w:jc w:val="center"/>
              <w:textAlignment w:val="center"/>
              <w:rPr>
                <w:rFonts w:ascii="Times New Roman" w:eastAsia="宋体" w:hAnsi="Times New Roman" w:cs="Times New Roman" w:hint="default"/>
                <w:color w:val="auto"/>
                <w:kern w:val="0"/>
                <w:szCs w:val="21"/>
                <w:highlight w:val="none"/>
              </w:rPr>
            </w:pPr>
            <w:r>
              <w:rPr>
                <w:rFonts w:ascii="Times New Roman" w:eastAsia="宋体" w:hAnsi="Times New Roman" w:cs="Times New Roman" w:hint="default"/>
                <w:i w:val="0"/>
                <w:iCs w:val="0"/>
                <w:color w:val="000000"/>
                <w:kern w:val="0"/>
                <w:sz w:val="21"/>
                <w:szCs w:val="21"/>
                <w:u w:val="none"/>
                <w:lang w:val="en-US" w:eastAsia="zh-CN" w:bidi="ar"/>
              </w:rPr>
              <w:t>192.38</w:t>
            </w:r>
          </w:p>
        </w:tc>
      </w:tr>
      <w:tr>
        <w:tblPrEx>
          <w:tblW w:w="4075" w:type="pct"/>
          <w:jc w:val="center"/>
          <w:tblCellMar>
            <w:top w:w="0" w:type="dxa"/>
            <w:left w:w="108" w:type="dxa"/>
            <w:bottom w:w="0" w:type="dxa"/>
            <w:right w:w="108" w:type="dxa"/>
          </w:tblCellMar>
        </w:tblPrEx>
        <w:trPr>
          <w:trHeight w:val="272"/>
          <w:tblHeader/>
          <w:jc w:val="center"/>
        </w:trPr>
        <w:tc>
          <w:tcPr>
            <w:tcW w:w="933" w:type="pct"/>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合计</w:t>
            </w:r>
          </w:p>
        </w:tc>
        <w:tc>
          <w:tcPr>
            <w:tcW w:w="214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leftChars="0" w:firstLineChars="0"/>
              <w:jc w:val="center"/>
              <w:textAlignment w:val="center"/>
              <w:rPr>
                <w:rFonts w:ascii="Times New Roman" w:eastAsia="宋体" w:hAnsi="Times New Roman" w:cs="Times New Roman" w:hint="default"/>
                <w:color w:val="auto"/>
                <w:kern w:val="0"/>
                <w:szCs w:val="21"/>
                <w:highlight w:val="none"/>
              </w:rPr>
            </w:pPr>
            <w:r>
              <w:rPr>
                <w:rFonts w:ascii="Times New Roman" w:eastAsia="宋体" w:hAnsi="Times New Roman" w:cs="Times New Roman" w:hint="default"/>
                <w:i w:val="0"/>
                <w:iCs w:val="0"/>
                <w:color w:val="000000"/>
                <w:kern w:val="0"/>
                <w:sz w:val="21"/>
                <w:szCs w:val="21"/>
                <w:u w:val="none"/>
                <w:lang w:val="en-US" w:eastAsia="zh-CN" w:bidi="ar"/>
              </w:rPr>
              <w:t>718</w:t>
            </w:r>
          </w:p>
        </w:tc>
        <w:tc>
          <w:tcPr>
            <w:tcW w:w="215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leftChars="0" w:firstLineChars="0"/>
              <w:jc w:val="center"/>
              <w:textAlignment w:val="center"/>
              <w:rPr>
                <w:rFonts w:ascii="Times New Roman" w:eastAsia="宋体" w:hAnsi="Times New Roman" w:cs="Times New Roman" w:hint="default"/>
                <w:color w:val="auto"/>
                <w:kern w:val="0"/>
                <w:szCs w:val="21"/>
                <w:highlight w:val="none"/>
              </w:rPr>
            </w:pPr>
            <w:r>
              <w:rPr>
                <w:rFonts w:ascii="Times New Roman" w:eastAsia="宋体" w:hAnsi="Times New Roman" w:cs="Times New Roman" w:hint="default"/>
                <w:i w:val="0"/>
                <w:iCs w:val="0"/>
                <w:color w:val="000000"/>
                <w:kern w:val="0"/>
                <w:sz w:val="21"/>
                <w:szCs w:val="21"/>
                <w:u w:val="none"/>
                <w:lang w:val="en-US" w:eastAsia="zh-CN" w:bidi="ar"/>
              </w:rPr>
              <w:t>2582.9</w:t>
            </w:r>
          </w:p>
        </w:tc>
        <w:tc>
          <w:tcPr>
            <w:tcW w:w="2583"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leftChars="0" w:firstLineChars="0"/>
              <w:jc w:val="center"/>
              <w:textAlignment w:val="center"/>
              <w:rPr>
                <w:rFonts w:ascii="Times New Roman" w:eastAsia="宋体" w:hAnsi="Times New Roman" w:cs="Times New Roman" w:hint="default"/>
                <w:color w:val="auto"/>
                <w:kern w:val="0"/>
                <w:szCs w:val="21"/>
                <w:highlight w:val="none"/>
              </w:rPr>
            </w:pPr>
            <w:r>
              <w:rPr>
                <w:rFonts w:ascii="Times New Roman" w:eastAsia="宋体" w:hAnsi="Times New Roman" w:cs="Times New Roman" w:hint="default"/>
                <w:i w:val="0"/>
                <w:iCs w:val="0"/>
                <w:color w:val="000000"/>
                <w:kern w:val="0"/>
                <w:sz w:val="21"/>
                <w:szCs w:val="21"/>
                <w:u w:val="none"/>
                <w:lang w:val="en-US" w:eastAsia="zh-CN" w:bidi="ar"/>
              </w:rPr>
              <w:t>4213.1</w:t>
            </w:r>
          </w:p>
        </w:tc>
      </w:tr>
    </w:tbl>
    <w:p>
      <w:pPr>
        <w:spacing w:line="240" w:lineRule="auto"/>
        <w:ind w:left="0" w:firstLine="640"/>
        <w:rPr>
          <w:rFonts w:ascii="Times New Roman" w:eastAsia="宋体" w:hAnsi="Times New Roman"/>
          <w:color w:val="auto"/>
          <w:sz w:val="32"/>
          <w:szCs w:val="32"/>
          <w:highlight w:val="none"/>
        </w:rPr>
      </w:pPr>
      <w:r>
        <w:rPr>
          <w:rFonts w:ascii="Times New Roman" w:eastAsia="宋体" w:hAnsi="Times New Roman"/>
          <w:color w:val="auto"/>
          <w:sz w:val="32"/>
          <w:szCs w:val="32"/>
          <w:highlight w:val="none"/>
        </w:rPr>
        <w:br w:type="page"/>
      </w:r>
    </w:p>
    <w:p>
      <w:pPr>
        <w:pStyle w:val="Heading2"/>
        <w:spacing w:before="260" w:after="260" w:line="240" w:lineRule="auto"/>
        <w:ind w:left="0" w:firstLine="643"/>
        <w:rPr>
          <w:rFonts w:ascii="Times New Roman" w:eastAsia="宋体" w:hAnsi="Times New Roman"/>
          <w:color w:val="auto"/>
          <w:sz w:val="32"/>
          <w:szCs w:val="32"/>
          <w:highlight w:val="none"/>
        </w:rPr>
      </w:pPr>
      <w:bookmarkStart w:id="16" w:name="_Toc18848"/>
      <w:r>
        <w:rPr>
          <w:rFonts w:ascii="Times New Roman" w:eastAsia="宋体" w:hAnsi="Times New Roman" w:hint="eastAsia"/>
          <w:color w:val="auto"/>
          <w:sz w:val="32"/>
          <w:szCs w:val="32"/>
          <w:highlight w:val="none"/>
        </w:rPr>
        <w:t>第四章 发展目标</w:t>
      </w:r>
      <w:r>
        <w:rPr>
          <w:rFonts w:ascii="Times New Roman" w:eastAsia="宋体" w:hAnsi="Times New Roman"/>
          <w:color w:val="auto"/>
          <w:sz w:val="32"/>
          <w:szCs w:val="32"/>
          <w:highlight w:val="none"/>
        </w:rPr>
        <w:t>与需求</w:t>
      </w:r>
      <w:bookmarkEnd w:id="16"/>
    </w:p>
    <w:p>
      <w:pPr>
        <w:pStyle w:val="Heading3"/>
        <w:spacing w:line="240" w:lineRule="auto"/>
        <w:ind w:left="0" w:firstLine="482"/>
        <w:rPr>
          <w:rFonts w:ascii="Times New Roman" w:eastAsia="宋体" w:hAnsi="Times New Roman" w:cstheme="majorEastAsia"/>
          <w:color w:val="auto"/>
          <w:sz w:val="24"/>
          <w:szCs w:val="24"/>
          <w:highlight w:val="none"/>
        </w:rPr>
      </w:pPr>
      <w:bookmarkStart w:id="17" w:name="_Toc25233"/>
      <w:bookmarkStart w:id="18" w:name="_Toc47975703"/>
      <w:r>
        <w:rPr>
          <w:rFonts w:ascii="Times New Roman" w:eastAsia="宋体" w:hAnsi="Times New Roman" w:cstheme="majorEastAsia" w:hint="eastAsia"/>
          <w:color w:val="auto"/>
          <w:sz w:val="24"/>
          <w:szCs w:val="24"/>
          <w:highlight w:val="none"/>
        </w:rPr>
        <w:t>一</w:t>
      </w:r>
      <w:r>
        <w:rPr>
          <w:rFonts w:ascii="Times New Roman" w:eastAsia="宋体" w:hAnsi="Times New Roman" w:cstheme="majorEastAsia"/>
          <w:color w:val="auto"/>
          <w:sz w:val="24"/>
          <w:szCs w:val="24"/>
          <w:highlight w:val="none"/>
        </w:rPr>
        <w:t>、发展目标</w:t>
      </w:r>
      <w:bookmarkEnd w:id="17"/>
    </w:p>
    <w:p>
      <w:pPr>
        <w:pStyle w:val="ListParagraph"/>
        <w:adjustRightInd w:val="0"/>
        <w:spacing w:line="360" w:lineRule="auto"/>
        <w:ind w:left="0" w:firstLine="480"/>
        <w:jc w:val="left"/>
        <w:rPr>
          <w:rFonts w:ascii="宋体" w:eastAsia="宋体" w:hAnsi="宋体"/>
          <w:color w:val="auto"/>
          <w:sz w:val="24"/>
          <w:szCs w:val="24"/>
          <w:highlight w:val="none"/>
        </w:rPr>
      </w:pPr>
      <w:r>
        <w:rPr>
          <w:rFonts w:ascii="宋体" w:eastAsia="宋体" w:hAnsi="宋体" w:hint="eastAsia"/>
          <w:color w:val="auto"/>
          <w:sz w:val="24"/>
          <w:szCs w:val="24"/>
          <w:highlight w:val="none"/>
        </w:rPr>
        <w:t>1、</w:t>
      </w:r>
      <w:r>
        <w:rPr>
          <w:rFonts w:ascii="宋体" w:eastAsia="宋体" w:hAnsi="宋体"/>
          <w:color w:val="auto"/>
          <w:sz w:val="24"/>
          <w:szCs w:val="24"/>
          <w:highlight w:val="none"/>
        </w:rPr>
        <w:t>满足需求</w:t>
      </w:r>
    </w:p>
    <w:p>
      <w:pPr>
        <w:adjustRightInd w:val="0"/>
        <w:spacing w:line="360" w:lineRule="auto"/>
        <w:ind w:left="0" w:firstLine="480"/>
        <w:jc w:val="left"/>
        <w:rPr>
          <w:rFonts w:ascii="宋体" w:eastAsia="宋体" w:hAnsi="宋体"/>
          <w:color w:val="auto"/>
          <w:sz w:val="24"/>
          <w:szCs w:val="24"/>
          <w:highlight w:val="none"/>
        </w:rPr>
      </w:pPr>
      <w:r>
        <w:rPr>
          <w:rFonts w:ascii="宋体" w:eastAsia="宋体" w:hAnsi="宋体" w:hint="eastAsia"/>
          <w:color w:val="auto"/>
          <w:sz w:val="24"/>
          <w:szCs w:val="24"/>
          <w:highlight w:val="none"/>
        </w:rPr>
        <w:t>结合通信运营商需求，统一规划、统一设计，紧密结合未来通信网络宽带化、智能化、个性化的发展趋势，以智慧城市的通信基础设施为建设目标，以创新的发展模式为导向，</w:t>
      </w:r>
      <w:r>
        <w:rPr>
          <w:rFonts w:ascii="宋体" w:eastAsia="宋体" w:hAnsi="宋体"/>
          <w:color w:val="auto"/>
          <w:sz w:val="24"/>
          <w:szCs w:val="24"/>
          <w:highlight w:val="none"/>
        </w:rPr>
        <w:t>努力创建一个公平竞争、有序发展的通信设施建设环境，为区域用户提供丰富优质的通信服务。规划期末（</w:t>
      </w:r>
      <w:r>
        <w:rPr>
          <w:rFonts w:ascii="宋体" w:eastAsia="宋体" w:hAnsi="宋体" w:hint="eastAsia"/>
          <w:color w:val="auto"/>
          <w:sz w:val="24"/>
          <w:szCs w:val="24"/>
          <w:highlight w:val="none"/>
        </w:rPr>
        <w:t>2035</w:t>
      </w:r>
      <w:r>
        <w:rPr>
          <w:rFonts w:ascii="宋体" w:eastAsia="宋体" w:hAnsi="宋体"/>
          <w:color w:val="auto"/>
          <w:sz w:val="24"/>
          <w:szCs w:val="24"/>
          <w:highlight w:val="none"/>
        </w:rPr>
        <w:t>年）无线、宽带网络对区域内有效覆盖面积覆盖率应达100%；城市主干道路的通信管道覆盖率应达100%；城区、乡镇、行政村实现多家运营商光宽带覆盖率达100%，机房及管道共建共享率目标达到100%。</w:t>
      </w:r>
    </w:p>
    <w:p>
      <w:pPr>
        <w:spacing w:line="240" w:lineRule="auto"/>
        <w:ind w:left="0" w:firstLine="422"/>
        <w:jc w:val="center"/>
        <w:rPr>
          <w:color w:val="auto"/>
          <w:highlight w:val="none"/>
        </w:rPr>
      </w:pPr>
      <w:r>
        <w:rPr>
          <w:rFonts w:ascii="Times New Roman" w:eastAsia="宋体" w:hAnsi="Times New Roman" w:hint="eastAsia"/>
          <w:b/>
          <w:bCs/>
          <w:color w:val="auto"/>
          <w:szCs w:val="21"/>
          <w:highlight w:val="none"/>
        </w:rPr>
        <w:t>表4-1  规划期玉林市5G基础设施发展目标表</w:t>
      </w:r>
    </w:p>
    <w:tbl>
      <w:tblPr>
        <w:tblStyle w:val="TableNormal"/>
        <w:tblW w:w="9488" w:type="dxa"/>
        <w:jc w:val="center"/>
        <w:tblCellMar>
          <w:top w:w="0" w:type="dxa"/>
          <w:left w:w="108" w:type="dxa"/>
          <w:bottom w:w="0" w:type="dxa"/>
          <w:right w:w="108" w:type="dxa"/>
        </w:tblCellMar>
      </w:tblPr>
      <w:tblGrid>
        <w:gridCol w:w="960"/>
        <w:gridCol w:w="960"/>
        <w:gridCol w:w="1120"/>
        <w:gridCol w:w="1340"/>
        <w:gridCol w:w="1380"/>
        <w:gridCol w:w="960"/>
        <w:gridCol w:w="960"/>
        <w:gridCol w:w="960"/>
        <w:gridCol w:w="848"/>
      </w:tblGrid>
      <w:tr>
        <w:tblPrEx>
          <w:tblW w:w="9488" w:type="dxa"/>
          <w:jc w:val="center"/>
          <w:tblCellMar>
            <w:top w:w="0" w:type="dxa"/>
            <w:left w:w="108" w:type="dxa"/>
            <w:bottom w:w="0" w:type="dxa"/>
            <w:right w:w="108" w:type="dxa"/>
          </w:tblCellMar>
        </w:tblPrEx>
        <w:trPr>
          <w:trHeight w:val="290"/>
          <w:jc w:val="center"/>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eastAsia"/>
                <w:b/>
                <w:bCs/>
                <w:color w:val="auto"/>
                <w:kern w:val="0"/>
                <w:szCs w:val="21"/>
                <w:highlight w:val="none"/>
              </w:rPr>
            </w:pPr>
            <w:r>
              <w:rPr>
                <w:rFonts w:ascii="Times New Roman" w:eastAsia="宋体" w:hAnsi="Times New Roman" w:cs="宋体" w:hint="eastAsia"/>
                <w:b/>
                <w:bCs/>
                <w:color w:val="auto"/>
                <w:kern w:val="0"/>
                <w:szCs w:val="21"/>
                <w:highlight w:val="none"/>
              </w:rPr>
              <w:t>指标类别</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eastAsia"/>
                <w:b/>
                <w:bCs/>
                <w:color w:val="auto"/>
                <w:kern w:val="0"/>
                <w:szCs w:val="21"/>
                <w:highlight w:val="none"/>
              </w:rPr>
            </w:pPr>
            <w:r>
              <w:rPr>
                <w:rFonts w:ascii="Times New Roman" w:eastAsia="宋体" w:hAnsi="Times New Roman" w:cs="宋体" w:hint="eastAsia"/>
                <w:b/>
                <w:bCs/>
                <w:color w:val="auto"/>
                <w:kern w:val="0"/>
                <w:szCs w:val="21"/>
                <w:highlight w:val="none"/>
              </w:rPr>
              <w:t>指标名称</w:t>
            </w:r>
          </w:p>
        </w:tc>
        <w:tc>
          <w:tcPr>
            <w:tcW w:w="112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eastAsia"/>
                <w:b/>
                <w:bCs/>
                <w:color w:val="auto"/>
                <w:kern w:val="0"/>
                <w:szCs w:val="21"/>
                <w:highlight w:val="none"/>
              </w:rPr>
            </w:pPr>
            <w:r>
              <w:rPr>
                <w:rFonts w:ascii="Times New Roman" w:eastAsia="宋体" w:hAnsi="Times New Roman" w:cs="宋体" w:hint="eastAsia"/>
                <w:b/>
                <w:bCs/>
                <w:color w:val="auto"/>
                <w:kern w:val="0"/>
                <w:szCs w:val="21"/>
                <w:highlight w:val="none"/>
              </w:rPr>
              <w:t>单位</w:t>
            </w:r>
          </w:p>
        </w:tc>
        <w:tc>
          <w:tcPr>
            <w:tcW w:w="1340" w:type="dxa"/>
            <w:tcBorders>
              <w:top w:val="single" w:sz="8" w:space="0" w:color="auto"/>
              <w:left w:val="nil"/>
              <w:bottom w:val="single" w:sz="8" w:space="0" w:color="auto"/>
              <w:right w:val="single" w:sz="8" w:space="0" w:color="auto"/>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eastAsia"/>
                <w:b/>
                <w:bCs/>
                <w:color w:val="auto"/>
                <w:kern w:val="0"/>
                <w:szCs w:val="21"/>
                <w:highlight w:val="none"/>
              </w:rPr>
            </w:pPr>
            <w:r>
              <w:rPr>
                <w:rFonts w:ascii="Times New Roman" w:eastAsia="宋体" w:hAnsi="Times New Roman" w:cs="宋体" w:hint="eastAsia"/>
                <w:b/>
                <w:bCs/>
                <w:color w:val="auto"/>
                <w:kern w:val="0"/>
                <w:szCs w:val="21"/>
                <w:highlight w:val="none"/>
              </w:rPr>
              <w:t>2021年</w:t>
            </w:r>
          </w:p>
        </w:tc>
        <w:tc>
          <w:tcPr>
            <w:tcW w:w="1380" w:type="dxa"/>
            <w:tcBorders>
              <w:top w:val="single" w:sz="8" w:space="0" w:color="auto"/>
              <w:left w:val="nil"/>
              <w:bottom w:val="single" w:sz="8" w:space="0" w:color="auto"/>
              <w:right w:val="single" w:sz="8" w:space="0" w:color="auto"/>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eastAsia"/>
                <w:b/>
                <w:bCs/>
                <w:color w:val="auto"/>
                <w:kern w:val="0"/>
                <w:szCs w:val="21"/>
                <w:highlight w:val="none"/>
              </w:rPr>
            </w:pPr>
            <w:r>
              <w:rPr>
                <w:rFonts w:ascii="Times New Roman" w:eastAsia="宋体" w:hAnsi="Times New Roman" w:cs="宋体" w:hint="eastAsia"/>
                <w:b/>
                <w:bCs/>
                <w:color w:val="auto"/>
                <w:kern w:val="0"/>
                <w:szCs w:val="21"/>
                <w:highlight w:val="none"/>
              </w:rPr>
              <w:t>2025年</w:t>
            </w:r>
          </w:p>
        </w:tc>
        <w:tc>
          <w:tcPr>
            <w:tcW w:w="960" w:type="dxa"/>
            <w:tcBorders>
              <w:top w:val="single" w:sz="8" w:space="0" w:color="auto"/>
              <w:left w:val="nil"/>
              <w:bottom w:val="single" w:sz="8" w:space="0" w:color="auto"/>
              <w:right w:val="single" w:sz="8" w:space="0" w:color="auto"/>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eastAsia"/>
                <w:b/>
                <w:bCs/>
                <w:color w:val="auto"/>
                <w:kern w:val="0"/>
                <w:szCs w:val="21"/>
                <w:highlight w:val="none"/>
              </w:rPr>
            </w:pPr>
            <w:r>
              <w:rPr>
                <w:rFonts w:ascii="Times New Roman" w:eastAsia="宋体" w:hAnsi="Times New Roman" w:cs="宋体" w:hint="eastAsia"/>
                <w:b/>
                <w:bCs/>
                <w:color w:val="auto"/>
                <w:kern w:val="0"/>
                <w:szCs w:val="21"/>
                <w:highlight w:val="none"/>
              </w:rPr>
              <w:t>2026年</w:t>
            </w:r>
          </w:p>
        </w:tc>
        <w:tc>
          <w:tcPr>
            <w:tcW w:w="960" w:type="dxa"/>
            <w:tcBorders>
              <w:top w:val="single" w:sz="8" w:space="0" w:color="auto"/>
              <w:left w:val="nil"/>
              <w:bottom w:val="single" w:sz="8" w:space="0" w:color="auto"/>
              <w:right w:val="single" w:sz="8" w:space="0" w:color="auto"/>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eastAsia"/>
                <w:b/>
                <w:bCs/>
                <w:color w:val="auto"/>
                <w:kern w:val="0"/>
                <w:szCs w:val="21"/>
                <w:highlight w:val="none"/>
              </w:rPr>
            </w:pPr>
            <w:r>
              <w:rPr>
                <w:rFonts w:ascii="Times New Roman" w:eastAsia="宋体" w:hAnsi="Times New Roman" w:cs="宋体" w:hint="eastAsia"/>
                <w:b/>
                <w:bCs/>
                <w:color w:val="auto"/>
                <w:kern w:val="0"/>
                <w:szCs w:val="21"/>
                <w:highlight w:val="none"/>
              </w:rPr>
              <w:t>2030年</w:t>
            </w:r>
          </w:p>
        </w:tc>
        <w:tc>
          <w:tcPr>
            <w:tcW w:w="960" w:type="dxa"/>
            <w:tcBorders>
              <w:top w:val="single" w:sz="8" w:space="0" w:color="auto"/>
              <w:left w:val="nil"/>
              <w:bottom w:val="single" w:sz="8" w:space="0" w:color="auto"/>
              <w:right w:val="single" w:sz="8" w:space="0" w:color="auto"/>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eastAsia"/>
                <w:b/>
                <w:bCs/>
                <w:color w:val="auto"/>
                <w:kern w:val="0"/>
                <w:szCs w:val="21"/>
                <w:highlight w:val="none"/>
              </w:rPr>
            </w:pPr>
            <w:r>
              <w:rPr>
                <w:rFonts w:ascii="Times New Roman" w:eastAsia="宋体" w:hAnsi="Times New Roman" w:cs="宋体" w:hint="eastAsia"/>
                <w:b/>
                <w:bCs/>
                <w:color w:val="auto"/>
                <w:kern w:val="0"/>
                <w:szCs w:val="21"/>
                <w:highlight w:val="none"/>
              </w:rPr>
              <w:t>2031年</w:t>
            </w:r>
          </w:p>
        </w:tc>
        <w:tc>
          <w:tcPr>
            <w:tcW w:w="848" w:type="dxa"/>
            <w:tcBorders>
              <w:top w:val="single" w:sz="8" w:space="0" w:color="auto"/>
              <w:left w:val="nil"/>
              <w:bottom w:val="single" w:sz="8" w:space="0" w:color="auto"/>
              <w:right w:val="single" w:sz="8" w:space="0" w:color="auto"/>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eastAsia"/>
                <w:b/>
                <w:bCs/>
                <w:color w:val="auto"/>
                <w:kern w:val="0"/>
                <w:szCs w:val="21"/>
                <w:highlight w:val="none"/>
              </w:rPr>
            </w:pPr>
            <w:r>
              <w:rPr>
                <w:rFonts w:ascii="Times New Roman" w:eastAsia="宋体" w:hAnsi="Times New Roman" w:cs="宋体" w:hint="eastAsia"/>
                <w:b/>
                <w:bCs/>
                <w:color w:val="auto"/>
                <w:kern w:val="0"/>
                <w:szCs w:val="21"/>
                <w:highlight w:val="none"/>
              </w:rPr>
              <w:t>2035年</w:t>
            </w:r>
          </w:p>
        </w:tc>
      </w:tr>
      <w:tr>
        <w:tblPrEx>
          <w:tblW w:w="9488" w:type="dxa"/>
          <w:jc w:val="center"/>
          <w:tblCellMar>
            <w:top w:w="0" w:type="dxa"/>
            <w:left w:w="108" w:type="dxa"/>
            <w:bottom w:w="0" w:type="dxa"/>
            <w:right w:w="108" w:type="dxa"/>
          </w:tblCellMar>
        </w:tblPrEx>
        <w:trPr>
          <w:trHeight w:val="290"/>
          <w:jc w:val="center"/>
        </w:trPr>
        <w:tc>
          <w:tcPr>
            <w:tcW w:w="960" w:type="dxa"/>
            <w:vMerge/>
            <w:tcBorders>
              <w:top w:val="single" w:sz="8" w:space="0" w:color="auto"/>
              <w:left w:val="single" w:sz="8" w:space="0" w:color="auto"/>
              <w:bottom w:val="single" w:sz="8" w:space="0" w:color="000000"/>
              <w:right w:val="single" w:sz="8" w:space="0" w:color="auto"/>
            </w:tcBorders>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eastAsia"/>
                <w:b/>
                <w:bCs/>
                <w:color w:val="auto"/>
                <w:kern w:val="0"/>
                <w:szCs w:val="21"/>
                <w:highlight w:val="none"/>
              </w:rPr>
            </w:pPr>
          </w:p>
        </w:tc>
        <w:tc>
          <w:tcPr>
            <w:tcW w:w="960" w:type="dxa"/>
            <w:vMerge/>
            <w:tcBorders>
              <w:top w:val="single" w:sz="8" w:space="0" w:color="auto"/>
              <w:left w:val="single" w:sz="8" w:space="0" w:color="auto"/>
              <w:bottom w:val="single" w:sz="8" w:space="0" w:color="000000"/>
              <w:right w:val="single" w:sz="8" w:space="0" w:color="auto"/>
            </w:tcBorders>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eastAsia"/>
                <w:b/>
                <w:bCs/>
                <w:color w:val="auto"/>
                <w:kern w:val="0"/>
                <w:szCs w:val="21"/>
                <w:highlight w:val="none"/>
              </w:rPr>
            </w:pPr>
          </w:p>
        </w:tc>
        <w:tc>
          <w:tcPr>
            <w:tcW w:w="1120" w:type="dxa"/>
            <w:vMerge/>
            <w:tcBorders>
              <w:top w:val="single" w:sz="8" w:space="0" w:color="auto"/>
              <w:left w:val="single" w:sz="8" w:space="0" w:color="auto"/>
              <w:bottom w:val="single" w:sz="8" w:space="0" w:color="000000"/>
              <w:right w:val="single" w:sz="8" w:space="0" w:color="auto"/>
            </w:tcBorders>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eastAsia"/>
                <w:b/>
                <w:bCs/>
                <w:color w:val="auto"/>
                <w:kern w:val="0"/>
                <w:szCs w:val="21"/>
                <w:highlight w:val="none"/>
              </w:rPr>
            </w:pPr>
          </w:p>
        </w:tc>
        <w:tc>
          <w:tcPr>
            <w:tcW w:w="2720" w:type="dxa"/>
            <w:gridSpan w:val="2"/>
            <w:tcBorders>
              <w:top w:val="single" w:sz="8" w:space="0" w:color="auto"/>
              <w:left w:val="nil"/>
              <w:bottom w:val="single" w:sz="8" w:space="0" w:color="auto"/>
              <w:right w:val="single" w:sz="8" w:space="0" w:color="000000"/>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eastAsia"/>
                <w:b/>
                <w:bCs/>
                <w:color w:val="auto"/>
                <w:kern w:val="0"/>
                <w:szCs w:val="21"/>
                <w:highlight w:val="none"/>
              </w:rPr>
            </w:pPr>
            <w:r>
              <w:rPr>
                <w:rFonts w:ascii="Times New Roman" w:eastAsia="宋体" w:hAnsi="Times New Roman" w:cs="宋体" w:hint="eastAsia"/>
                <w:b/>
                <w:bCs/>
                <w:color w:val="auto"/>
                <w:kern w:val="0"/>
                <w:szCs w:val="21"/>
                <w:highlight w:val="none"/>
              </w:rPr>
              <w:t>近期规划</w:t>
            </w:r>
          </w:p>
        </w:tc>
        <w:tc>
          <w:tcPr>
            <w:tcW w:w="1920" w:type="dxa"/>
            <w:gridSpan w:val="2"/>
            <w:tcBorders>
              <w:top w:val="single" w:sz="8" w:space="0" w:color="auto"/>
              <w:left w:val="nil"/>
              <w:bottom w:val="single" w:sz="8" w:space="0" w:color="auto"/>
              <w:right w:val="single" w:sz="8" w:space="0" w:color="000000"/>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eastAsia"/>
                <w:b/>
                <w:bCs/>
                <w:color w:val="auto"/>
                <w:kern w:val="0"/>
                <w:szCs w:val="21"/>
                <w:highlight w:val="none"/>
              </w:rPr>
            </w:pPr>
            <w:r>
              <w:rPr>
                <w:rFonts w:ascii="Times New Roman" w:eastAsia="宋体" w:hAnsi="Times New Roman" w:cs="宋体" w:hint="eastAsia"/>
                <w:b/>
                <w:bCs/>
                <w:color w:val="auto"/>
                <w:kern w:val="0"/>
                <w:szCs w:val="21"/>
                <w:highlight w:val="none"/>
              </w:rPr>
              <w:t>中期规划</w:t>
            </w:r>
          </w:p>
        </w:tc>
        <w:tc>
          <w:tcPr>
            <w:tcW w:w="1808" w:type="dxa"/>
            <w:gridSpan w:val="2"/>
            <w:tcBorders>
              <w:top w:val="single" w:sz="8" w:space="0" w:color="auto"/>
              <w:left w:val="nil"/>
              <w:bottom w:val="single" w:sz="8" w:space="0" w:color="auto"/>
              <w:right w:val="single" w:sz="8" w:space="0" w:color="000000"/>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eastAsia"/>
                <w:b/>
                <w:bCs/>
                <w:color w:val="auto"/>
                <w:kern w:val="0"/>
                <w:szCs w:val="21"/>
                <w:highlight w:val="none"/>
              </w:rPr>
            </w:pPr>
            <w:r>
              <w:rPr>
                <w:rFonts w:ascii="Times New Roman" w:eastAsia="宋体" w:hAnsi="Times New Roman" w:cs="宋体" w:hint="eastAsia"/>
                <w:b/>
                <w:bCs/>
                <w:color w:val="auto"/>
                <w:kern w:val="0"/>
                <w:szCs w:val="21"/>
                <w:highlight w:val="none"/>
              </w:rPr>
              <w:t>远期规划</w:t>
            </w:r>
          </w:p>
        </w:tc>
      </w:tr>
      <w:tr>
        <w:tblPrEx>
          <w:tblW w:w="9488" w:type="dxa"/>
          <w:jc w:val="center"/>
          <w:tblCellMar>
            <w:top w:w="0" w:type="dxa"/>
            <w:left w:w="108" w:type="dxa"/>
            <w:bottom w:w="0" w:type="dxa"/>
            <w:right w:w="108" w:type="dxa"/>
          </w:tblCellMar>
        </w:tblPrEx>
        <w:trPr>
          <w:trHeight w:val="1090"/>
          <w:jc w:val="center"/>
        </w:trPr>
        <w:tc>
          <w:tcPr>
            <w:tcW w:w="960" w:type="dxa"/>
            <w:tcBorders>
              <w:top w:val="nil"/>
              <w:left w:val="single" w:sz="8" w:space="0" w:color="auto"/>
              <w:bottom w:val="single" w:sz="8" w:space="0" w:color="auto"/>
              <w:right w:val="single" w:sz="8" w:space="0" w:color="auto"/>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eastAsia"/>
                <w:b w:val="0"/>
                <w:bCs w:val="0"/>
                <w:color w:val="auto"/>
                <w:kern w:val="0"/>
                <w:szCs w:val="21"/>
                <w:highlight w:val="none"/>
              </w:rPr>
            </w:pPr>
            <w:r>
              <w:rPr>
                <w:rFonts w:ascii="Times New Roman" w:eastAsia="宋体" w:hAnsi="Times New Roman" w:cs="宋体" w:hint="eastAsia"/>
                <w:b w:val="0"/>
                <w:bCs w:val="0"/>
                <w:color w:val="auto"/>
                <w:kern w:val="0"/>
                <w:szCs w:val="21"/>
                <w:highlight w:val="none"/>
              </w:rPr>
              <w:t>5G物理站址</w:t>
            </w:r>
          </w:p>
        </w:tc>
        <w:tc>
          <w:tcPr>
            <w:tcW w:w="960" w:type="dxa"/>
            <w:tcBorders>
              <w:top w:val="nil"/>
              <w:left w:val="nil"/>
              <w:bottom w:val="single" w:sz="8" w:space="0" w:color="auto"/>
              <w:right w:val="single" w:sz="8" w:space="0" w:color="auto"/>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eastAsia"/>
                <w:b w:val="0"/>
                <w:bCs w:val="0"/>
                <w:color w:val="auto"/>
                <w:kern w:val="0"/>
                <w:szCs w:val="21"/>
                <w:highlight w:val="none"/>
              </w:rPr>
            </w:pPr>
            <w:r>
              <w:rPr>
                <w:rFonts w:ascii="Times New Roman" w:eastAsia="宋体" w:hAnsi="Times New Roman" w:cs="宋体" w:hint="eastAsia"/>
                <w:b w:val="0"/>
                <w:bCs w:val="0"/>
                <w:color w:val="auto"/>
                <w:kern w:val="0"/>
                <w:szCs w:val="21"/>
                <w:highlight w:val="none"/>
              </w:rPr>
              <w:t>累计建成5G基站（含宏站、室分）</w:t>
            </w:r>
          </w:p>
        </w:tc>
        <w:tc>
          <w:tcPr>
            <w:tcW w:w="1120" w:type="dxa"/>
            <w:tcBorders>
              <w:top w:val="nil"/>
              <w:left w:val="nil"/>
              <w:bottom w:val="single" w:sz="8" w:space="0" w:color="auto"/>
              <w:right w:val="single" w:sz="8" w:space="0" w:color="auto"/>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eastAsia"/>
                <w:b w:val="0"/>
                <w:bCs w:val="0"/>
                <w:color w:val="auto"/>
                <w:kern w:val="0"/>
                <w:szCs w:val="21"/>
                <w:highlight w:val="none"/>
              </w:rPr>
            </w:pPr>
            <w:r>
              <w:rPr>
                <w:rFonts w:ascii="Times New Roman" w:eastAsia="宋体" w:hAnsi="Times New Roman" w:cs="宋体" w:hint="eastAsia"/>
                <w:b w:val="0"/>
                <w:bCs w:val="0"/>
                <w:color w:val="auto"/>
                <w:kern w:val="0"/>
                <w:szCs w:val="21"/>
                <w:highlight w:val="none"/>
              </w:rPr>
              <w:t>万个</w:t>
            </w:r>
          </w:p>
        </w:tc>
        <w:tc>
          <w:tcPr>
            <w:tcW w:w="2720" w:type="dxa"/>
            <w:gridSpan w:val="2"/>
            <w:tcBorders>
              <w:top w:val="single" w:sz="8" w:space="0" w:color="auto"/>
              <w:left w:val="nil"/>
              <w:bottom w:val="single" w:sz="8" w:space="0" w:color="auto"/>
              <w:right w:val="single" w:sz="8" w:space="0" w:color="000000"/>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eastAsia"/>
                <w:b w:val="0"/>
                <w:bCs w:val="0"/>
                <w:color w:val="auto"/>
                <w:kern w:val="0"/>
                <w:szCs w:val="21"/>
                <w:highlight w:val="none"/>
              </w:rPr>
            </w:pPr>
            <w:r>
              <w:rPr>
                <w:rFonts w:ascii="Times New Roman" w:eastAsia="宋体" w:hAnsi="Times New Roman" w:cs="宋体" w:hint="eastAsia"/>
                <w:b w:val="0"/>
                <w:bCs w:val="0"/>
                <w:color w:val="auto"/>
                <w:kern w:val="0"/>
                <w:szCs w:val="21"/>
                <w:highlight w:val="none"/>
              </w:rPr>
              <w:t>0.52</w:t>
            </w:r>
          </w:p>
        </w:tc>
        <w:tc>
          <w:tcPr>
            <w:tcW w:w="1920" w:type="dxa"/>
            <w:gridSpan w:val="2"/>
            <w:tcBorders>
              <w:top w:val="single" w:sz="8" w:space="0" w:color="auto"/>
              <w:left w:val="nil"/>
              <w:bottom w:val="single" w:sz="8" w:space="0" w:color="auto"/>
              <w:right w:val="single" w:sz="8" w:space="0" w:color="000000"/>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eastAsia"/>
                <w:b w:val="0"/>
                <w:bCs w:val="0"/>
                <w:color w:val="auto"/>
                <w:kern w:val="0"/>
                <w:szCs w:val="21"/>
                <w:highlight w:val="none"/>
              </w:rPr>
            </w:pPr>
            <w:r>
              <w:rPr>
                <w:rFonts w:ascii="Times New Roman" w:eastAsia="宋体" w:hAnsi="Times New Roman" w:cs="宋体" w:hint="eastAsia"/>
                <w:b w:val="0"/>
                <w:bCs w:val="0"/>
                <w:color w:val="auto"/>
                <w:kern w:val="0"/>
                <w:szCs w:val="21"/>
                <w:highlight w:val="none"/>
              </w:rPr>
              <w:t>1.11</w:t>
            </w:r>
          </w:p>
        </w:tc>
        <w:tc>
          <w:tcPr>
            <w:tcW w:w="1808" w:type="dxa"/>
            <w:gridSpan w:val="2"/>
            <w:tcBorders>
              <w:top w:val="single" w:sz="8" w:space="0" w:color="auto"/>
              <w:left w:val="nil"/>
              <w:bottom w:val="single" w:sz="8" w:space="0" w:color="auto"/>
              <w:right w:val="single" w:sz="8" w:space="0" w:color="000000"/>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default"/>
                <w:b w:val="0"/>
                <w:bCs w:val="0"/>
                <w:color w:val="auto"/>
                <w:kern w:val="0"/>
                <w:szCs w:val="21"/>
                <w:highlight w:val="none"/>
                <w:lang w:val="en-US" w:eastAsia="zh-CN"/>
              </w:rPr>
            </w:pPr>
            <w:r>
              <w:rPr>
                <w:rFonts w:ascii="Times New Roman" w:eastAsia="宋体" w:hAnsi="Times New Roman" w:cs="宋体" w:hint="eastAsia"/>
                <w:b w:val="0"/>
                <w:bCs w:val="0"/>
                <w:color w:val="auto"/>
                <w:kern w:val="0"/>
                <w:szCs w:val="21"/>
                <w:highlight w:val="none"/>
                <w:lang w:val="en-US" w:eastAsia="zh-CN"/>
              </w:rPr>
              <w:t>1.52</w:t>
            </w:r>
          </w:p>
        </w:tc>
      </w:tr>
      <w:tr>
        <w:tblPrEx>
          <w:tblW w:w="9488" w:type="dxa"/>
          <w:jc w:val="center"/>
          <w:tblCellMar>
            <w:top w:w="0" w:type="dxa"/>
            <w:left w:w="108" w:type="dxa"/>
            <w:bottom w:w="0" w:type="dxa"/>
            <w:right w:w="108" w:type="dxa"/>
          </w:tblCellMar>
        </w:tblPrEx>
        <w:trPr>
          <w:trHeight w:val="820"/>
          <w:jc w:val="center"/>
        </w:trPr>
        <w:tc>
          <w:tcPr>
            <w:tcW w:w="960" w:type="dxa"/>
            <w:vMerge w:val="restart"/>
            <w:tcBorders>
              <w:top w:val="nil"/>
              <w:left w:val="single" w:sz="8" w:space="0" w:color="auto"/>
              <w:bottom w:val="single" w:sz="8" w:space="0" w:color="000000"/>
              <w:right w:val="single" w:sz="8" w:space="0" w:color="auto"/>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eastAsia"/>
                <w:b w:val="0"/>
                <w:bCs w:val="0"/>
                <w:color w:val="auto"/>
                <w:kern w:val="0"/>
                <w:szCs w:val="21"/>
                <w:highlight w:val="none"/>
              </w:rPr>
            </w:pPr>
            <w:r>
              <w:rPr>
                <w:rFonts w:ascii="Times New Roman" w:eastAsia="宋体" w:hAnsi="Times New Roman" w:cs="宋体" w:hint="eastAsia"/>
                <w:b w:val="0"/>
                <w:bCs w:val="0"/>
                <w:color w:val="auto"/>
                <w:kern w:val="0"/>
                <w:szCs w:val="21"/>
                <w:highlight w:val="none"/>
              </w:rPr>
              <w:t>结构类</w:t>
            </w:r>
          </w:p>
        </w:tc>
        <w:tc>
          <w:tcPr>
            <w:tcW w:w="960" w:type="dxa"/>
            <w:tcBorders>
              <w:top w:val="nil"/>
              <w:left w:val="nil"/>
              <w:bottom w:val="single" w:sz="8" w:space="0" w:color="auto"/>
              <w:right w:val="single" w:sz="8" w:space="0" w:color="auto"/>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eastAsia"/>
                <w:b w:val="0"/>
                <w:bCs w:val="0"/>
                <w:color w:val="auto"/>
                <w:kern w:val="0"/>
                <w:szCs w:val="21"/>
                <w:highlight w:val="none"/>
              </w:rPr>
            </w:pPr>
            <w:r>
              <w:rPr>
                <w:rFonts w:ascii="Times New Roman" w:eastAsia="宋体" w:hAnsi="Times New Roman" w:cs="宋体" w:hint="eastAsia"/>
                <w:b w:val="0"/>
                <w:bCs w:val="0"/>
                <w:color w:val="auto"/>
                <w:kern w:val="0"/>
                <w:szCs w:val="21"/>
                <w:highlight w:val="none"/>
              </w:rPr>
              <w:t>城区主干道路管道覆盖率</w:t>
            </w:r>
          </w:p>
        </w:tc>
        <w:tc>
          <w:tcPr>
            <w:tcW w:w="1120" w:type="dxa"/>
            <w:tcBorders>
              <w:top w:val="nil"/>
              <w:left w:val="nil"/>
              <w:bottom w:val="single" w:sz="8" w:space="0" w:color="auto"/>
              <w:right w:val="single" w:sz="8" w:space="0" w:color="auto"/>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eastAsia"/>
                <w:b w:val="0"/>
                <w:bCs w:val="0"/>
                <w:color w:val="auto"/>
                <w:kern w:val="0"/>
                <w:szCs w:val="21"/>
                <w:highlight w:val="none"/>
              </w:rPr>
            </w:pPr>
            <w:r>
              <w:rPr>
                <w:rFonts w:ascii="Times New Roman" w:eastAsia="宋体" w:hAnsi="Times New Roman" w:cs="宋体" w:hint="eastAsia"/>
                <w:b w:val="0"/>
                <w:bCs w:val="0"/>
                <w:color w:val="auto"/>
                <w:kern w:val="0"/>
                <w:szCs w:val="21"/>
                <w:highlight w:val="none"/>
              </w:rPr>
              <w:t>%</w:t>
            </w:r>
          </w:p>
        </w:tc>
        <w:tc>
          <w:tcPr>
            <w:tcW w:w="1340" w:type="dxa"/>
            <w:tcBorders>
              <w:top w:val="nil"/>
              <w:left w:val="nil"/>
              <w:bottom w:val="single" w:sz="8" w:space="0" w:color="auto"/>
              <w:right w:val="single" w:sz="8" w:space="0" w:color="auto"/>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eastAsia"/>
                <w:b w:val="0"/>
                <w:bCs w:val="0"/>
                <w:color w:val="auto"/>
                <w:kern w:val="0"/>
                <w:szCs w:val="21"/>
                <w:highlight w:val="none"/>
              </w:rPr>
            </w:pPr>
            <w:r>
              <w:rPr>
                <w:rFonts w:ascii="Times New Roman" w:eastAsia="宋体" w:hAnsi="Times New Roman" w:cs="宋体" w:hint="eastAsia"/>
                <w:b w:val="0"/>
                <w:bCs w:val="0"/>
                <w:color w:val="auto"/>
                <w:kern w:val="0"/>
                <w:szCs w:val="21"/>
                <w:highlight w:val="none"/>
              </w:rPr>
              <w:t>83</w:t>
            </w:r>
          </w:p>
        </w:tc>
        <w:tc>
          <w:tcPr>
            <w:tcW w:w="1380" w:type="dxa"/>
            <w:tcBorders>
              <w:top w:val="nil"/>
              <w:left w:val="nil"/>
              <w:bottom w:val="single" w:sz="8" w:space="0" w:color="auto"/>
              <w:right w:val="single" w:sz="8" w:space="0" w:color="auto"/>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eastAsia"/>
                <w:b w:val="0"/>
                <w:bCs w:val="0"/>
                <w:color w:val="auto"/>
                <w:kern w:val="0"/>
                <w:szCs w:val="21"/>
                <w:highlight w:val="none"/>
              </w:rPr>
            </w:pPr>
            <w:r>
              <w:rPr>
                <w:rFonts w:ascii="Times New Roman" w:eastAsia="宋体" w:hAnsi="Times New Roman" w:cs="宋体" w:hint="eastAsia"/>
                <w:b w:val="0"/>
                <w:bCs w:val="0"/>
                <w:color w:val="auto"/>
                <w:kern w:val="0"/>
                <w:szCs w:val="21"/>
                <w:highlight w:val="none"/>
              </w:rPr>
              <w:t>88</w:t>
            </w:r>
          </w:p>
        </w:tc>
        <w:tc>
          <w:tcPr>
            <w:tcW w:w="960" w:type="dxa"/>
            <w:tcBorders>
              <w:top w:val="nil"/>
              <w:left w:val="nil"/>
              <w:bottom w:val="single" w:sz="8" w:space="0" w:color="auto"/>
              <w:right w:val="single" w:sz="8" w:space="0" w:color="auto"/>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eastAsia"/>
                <w:b w:val="0"/>
                <w:bCs w:val="0"/>
                <w:color w:val="auto"/>
                <w:kern w:val="0"/>
                <w:szCs w:val="21"/>
                <w:highlight w:val="none"/>
              </w:rPr>
            </w:pPr>
            <w:r>
              <w:rPr>
                <w:rFonts w:ascii="Times New Roman" w:eastAsia="宋体" w:hAnsi="Times New Roman" w:cs="宋体" w:hint="eastAsia"/>
                <w:b w:val="0"/>
                <w:bCs w:val="0"/>
                <w:color w:val="auto"/>
                <w:kern w:val="0"/>
                <w:szCs w:val="21"/>
                <w:highlight w:val="none"/>
              </w:rPr>
              <w:t>89</w:t>
            </w:r>
          </w:p>
        </w:tc>
        <w:tc>
          <w:tcPr>
            <w:tcW w:w="960" w:type="dxa"/>
            <w:tcBorders>
              <w:top w:val="nil"/>
              <w:left w:val="nil"/>
              <w:bottom w:val="single" w:sz="8" w:space="0" w:color="auto"/>
              <w:right w:val="single" w:sz="8" w:space="0" w:color="auto"/>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eastAsia"/>
                <w:b w:val="0"/>
                <w:bCs w:val="0"/>
                <w:color w:val="auto"/>
                <w:kern w:val="0"/>
                <w:szCs w:val="21"/>
                <w:highlight w:val="none"/>
              </w:rPr>
            </w:pPr>
            <w:r>
              <w:rPr>
                <w:rFonts w:ascii="Times New Roman" w:eastAsia="宋体" w:hAnsi="Times New Roman" w:cs="宋体" w:hint="eastAsia"/>
                <w:b w:val="0"/>
                <w:bCs w:val="0"/>
                <w:color w:val="auto"/>
                <w:kern w:val="0"/>
                <w:szCs w:val="21"/>
                <w:highlight w:val="none"/>
              </w:rPr>
              <w:t>90</w:t>
            </w:r>
          </w:p>
        </w:tc>
        <w:tc>
          <w:tcPr>
            <w:tcW w:w="960" w:type="dxa"/>
            <w:tcBorders>
              <w:top w:val="nil"/>
              <w:left w:val="nil"/>
              <w:bottom w:val="single" w:sz="8" w:space="0" w:color="auto"/>
              <w:right w:val="single" w:sz="8" w:space="0" w:color="auto"/>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eastAsia"/>
                <w:b w:val="0"/>
                <w:bCs w:val="0"/>
                <w:color w:val="auto"/>
                <w:kern w:val="0"/>
                <w:szCs w:val="21"/>
                <w:highlight w:val="none"/>
              </w:rPr>
            </w:pPr>
            <w:r>
              <w:rPr>
                <w:rFonts w:ascii="Times New Roman" w:eastAsia="宋体" w:hAnsi="Times New Roman" w:cs="宋体" w:hint="eastAsia"/>
                <w:b w:val="0"/>
                <w:bCs w:val="0"/>
                <w:color w:val="auto"/>
                <w:kern w:val="0"/>
                <w:szCs w:val="21"/>
                <w:highlight w:val="none"/>
              </w:rPr>
              <w:t>91</w:t>
            </w:r>
          </w:p>
        </w:tc>
        <w:tc>
          <w:tcPr>
            <w:tcW w:w="848" w:type="dxa"/>
            <w:tcBorders>
              <w:top w:val="nil"/>
              <w:left w:val="nil"/>
              <w:bottom w:val="single" w:sz="8" w:space="0" w:color="auto"/>
              <w:right w:val="single" w:sz="8" w:space="0" w:color="auto"/>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eastAsia"/>
                <w:b w:val="0"/>
                <w:bCs w:val="0"/>
                <w:color w:val="auto"/>
                <w:kern w:val="0"/>
                <w:szCs w:val="21"/>
                <w:highlight w:val="none"/>
              </w:rPr>
            </w:pPr>
            <w:r>
              <w:rPr>
                <w:rFonts w:ascii="Times New Roman" w:eastAsia="宋体" w:hAnsi="Times New Roman" w:cs="宋体" w:hint="eastAsia"/>
                <w:b w:val="0"/>
                <w:bCs w:val="0"/>
                <w:color w:val="auto"/>
                <w:kern w:val="0"/>
                <w:szCs w:val="21"/>
                <w:highlight w:val="none"/>
              </w:rPr>
              <w:t>100</w:t>
            </w:r>
          </w:p>
        </w:tc>
      </w:tr>
      <w:tr>
        <w:tblPrEx>
          <w:tblW w:w="9488" w:type="dxa"/>
          <w:jc w:val="center"/>
          <w:tblCellMar>
            <w:top w:w="0" w:type="dxa"/>
            <w:left w:w="108" w:type="dxa"/>
            <w:bottom w:w="0" w:type="dxa"/>
            <w:right w:w="108" w:type="dxa"/>
          </w:tblCellMar>
        </w:tblPrEx>
        <w:trPr>
          <w:trHeight w:val="820"/>
          <w:jc w:val="center"/>
        </w:trPr>
        <w:tc>
          <w:tcPr>
            <w:tcW w:w="960" w:type="dxa"/>
            <w:vMerge/>
            <w:tcBorders>
              <w:top w:val="nil"/>
              <w:left w:val="single" w:sz="8" w:space="0" w:color="auto"/>
              <w:bottom w:val="single" w:sz="8" w:space="0" w:color="000000"/>
              <w:right w:val="single" w:sz="8" w:space="0" w:color="auto"/>
            </w:tcBorders>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eastAsia"/>
                <w:b w:val="0"/>
                <w:bCs w:val="0"/>
                <w:color w:val="auto"/>
                <w:kern w:val="0"/>
                <w:szCs w:val="21"/>
                <w:highlight w:val="none"/>
              </w:rPr>
            </w:pPr>
          </w:p>
        </w:tc>
        <w:tc>
          <w:tcPr>
            <w:tcW w:w="960" w:type="dxa"/>
            <w:tcBorders>
              <w:top w:val="nil"/>
              <w:left w:val="nil"/>
              <w:bottom w:val="single" w:sz="8" w:space="0" w:color="auto"/>
              <w:right w:val="single" w:sz="8" w:space="0" w:color="auto"/>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eastAsia"/>
                <w:b w:val="0"/>
                <w:bCs w:val="0"/>
                <w:color w:val="auto"/>
                <w:kern w:val="0"/>
                <w:szCs w:val="21"/>
                <w:highlight w:val="none"/>
              </w:rPr>
            </w:pPr>
            <w:r>
              <w:rPr>
                <w:rFonts w:ascii="Times New Roman" w:eastAsia="宋体" w:hAnsi="Times New Roman" w:cs="宋体" w:hint="eastAsia"/>
                <w:b w:val="0"/>
                <w:bCs w:val="0"/>
                <w:color w:val="auto"/>
                <w:kern w:val="0"/>
                <w:szCs w:val="21"/>
                <w:highlight w:val="none"/>
              </w:rPr>
              <w:t>每光交接箱覆盖距离</w:t>
            </w:r>
          </w:p>
        </w:tc>
        <w:tc>
          <w:tcPr>
            <w:tcW w:w="1120" w:type="dxa"/>
            <w:tcBorders>
              <w:top w:val="nil"/>
              <w:left w:val="nil"/>
              <w:bottom w:val="single" w:sz="8" w:space="0" w:color="auto"/>
              <w:right w:val="single" w:sz="8" w:space="0" w:color="auto"/>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eastAsia"/>
                <w:b w:val="0"/>
                <w:bCs w:val="0"/>
                <w:color w:val="auto"/>
                <w:kern w:val="0"/>
                <w:szCs w:val="21"/>
                <w:highlight w:val="none"/>
              </w:rPr>
            </w:pPr>
            <w:r>
              <w:rPr>
                <w:rFonts w:ascii="Times New Roman" w:eastAsia="宋体" w:hAnsi="Times New Roman" w:cs="宋体" w:hint="eastAsia"/>
                <w:b w:val="0"/>
                <w:bCs w:val="0"/>
                <w:color w:val="auto"/>
                <w:kern w:val="0"/>
                <w:szCs w:val="21"/>
                <w:highlight w:val="none"/>
              </w:rPr>
              <w:t>米</w:t>
            </w:r>
          </w:p>
        </w:tc>
        <w:tc>
          <w:tcPr>
            <w:tcW w:w="1340" w:type="dxa"/>
            <w:tcBorders>
              <w:top w:val="nil"/>
              <w:left w:val="nil"/>
              <w:bottom w:val="single" w:sz="8" w:space="0" w:color="auto"/>
              <w:right w:val="single" w:sz="8" w:space="0" w:color="auto"/>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eastAsia"/>
                <w:b w:val="0"/>
                <w:bCs w:val="0"/>
                <w:color w:val="auto"/>
                <w:kern w:val="0"/>
                <w:szCs w:val="21"/>
                <w:highlight w:val="none"/>
              </w:rPr>
            </w:pPr>
            <w:r>
              <w:rPr>
                <w:rFonts w:ascii="Times New Roman" w:eastAsia="宋体" w:hAnsi="Times New Roman" w:cs="宋体" w:hint="eastAsia"/>
                <w:b w:val="0"/>
                <w:bCs w:val="0"/>
                <w:color w:val="auto"/>
                <w:kern w:val="0"/>
                <w:szCs w:val="21"/>
                <w:highlight w:val="none"/>
              </w:rPr>
              <w:t>950</w:t>
            </w:r>
          </w:p>
        </w:tc>
        <w:tc>
          <w:tcPr>
            <w:tcW w:w="1380" w:type="dxa"/>
            <w:tcBorders>
              <w:top w:val="nil"/>
              <w:left w:val="nil"/>
              <w:bottom w:val="single" w:sz="8" w:space="0" w:color="auto"/>
              <w:right w:val="single" w:sz="8" w:space="0" w:color="auto"/>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eastAsia"/>
                <w:b w:val="0"/>
                <w:bCs w:val="0"/>
                <w:color w:val="auto"/>
                <w:kern w:val="0"/>
                <w:szCs w:val="21"/>
                <w:highlight w:val="none"/>
              </w:rPr>
            </w:pPr>
            <w:r>
              <w:rPr>
                <w:rFonts w:ascii="Times New Roman" w:eastAsia="宋体" w:hAnsi="Times New Roman" w:cs="宋体" w:hint="eastAsia"/>
                <w:b w:val="0"/>
                <w:bCs w:val="0"/>
                <w:color w:val="auto"/>
                <w:kern w:val="0"/>
                <w:szCs w:val="21"/>
                <w:highlight w:val="none"/>
              </w:rPr>
              <w:t>830</w:t>
            </w:r>
          </w:p>
        </w:tc>
        <w:tc>
          <w:tcPr>
            <w:tcW w:w="960" w:type="dxa"/>
            <w:tcBorders>
              <w:top w:val="nil"/>
              <w:left w:val="nil"/>
              <w:bottom w:val="single" w:sz="8" w:space="0" w:color="auto"/>
              <w:right w:val="single" w:sz="8" w:space="0" w:color="auto"/>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eastAsia"/>
                <w:b w:val="0"/>
                <w:bCs w:val="0"/>
                <w:color w:val="auto"/>
                <w:kern w:val="0"/>
                <w:szCs w:val="21"/>
                <w:highlight w:val="none"/>
              </w:rPr>
            </w:pPr>
            <w:r>
              <w:rPr>
                <w:rFonts w:ascii="Times New Roman" w:eastAsia="宋体" w:hAnsi="Times New Roman" w:cs="宋体" w:hint="eastAsia"/>
                <w:b w:val="0"/>
                <w:bCs w:val="0"/>
                <w:color w:val="auto"/>
                <w:kern w:val="0"/>
                <w:szCs w:val="21"/>
                <w:highlight w:val="none"/>
              </w:rPr>
              <w:t>820</w:t>
            </w:r>
          </w:p>
        </w:tc>
        <w:tc>
          <w:tcPr>
            <w:tcW w:w="960" w:type="dxa"/>
            <w:tcBorders>
              <w:top w:val="nil"/>
              <w:left w:val="nil"/>
              <w:bottom w:val="single" w:sz="8" w:space="0" w:color="auto"/>
              <w:right w:val="single" w:sz="8" w:space="0" w:color="auto"/>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eastAsia"/>
                <w:b w:val="0"/>
                <w:bCs w:val="0"/>
                <w:color w:val="auto"/>
                <w:kern w:val="0"/>
                <w:szCs w:val="21"/>
                <w:highlight w:val="none"/>
              </w:rPr>
            </w:pPr>
            <w:r>
              <w:rPr>
                <w:rFonts w:ascii="Times New Roman" w:eastAsia="宋体" w:hAnsi="Times New Roman" w:cs="宋体" w:hint="eastAsia"/>
                <w:b w:val="0"/>
                <w:bCs w:val="0"/>
                <w:color w:val="auto"/>
                <w:kern w:val="0"/>
                <w:szCs w:val="21"/>
                <w:highlight w:val="none"/>
              </w:rPr>
              <w:t>690</w:t>
            </w:r>
          </w:p>
        </w:tc>
        <w:tc>
          <w:tcPr>
            <w:tcW w:w="960" w:type="dxa"/>
            <w:tcBorders>
              <w:top w:val="nil"/>
              <w:left w:val="nil"/>
              <w:bottom w:val="single" w:sz="8" w:space="0" w:color="auto"/>
              <w:right w:val="single" w:sz="8" w:space="0" w:color="auto"/>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eastAsia"/>
                <w:b w:val="0"/>
                <w:bCs w:val="0"/>
                <w:color w:val="auto"/>
                <w:kern w:val="0"/>
                <w:szCs w:val="21"/>
                <w:highlight w:val="none"/>
              </w:rPr>
            </w:pPr>
            <w:r>
              <w:rPr>
                <w:rFonts w:ascii="Times New Roman" w:eastAsia="宋体" w:hAnsi="Times New Roman" w:cs="宋体" w:hint="eastAsia"/>
                <w:b w:val="0"/>
                <w:bCs w:val="0"/>
                <w:color w:val="auto"/>
                <w:kern w:val="0"/>
                <w:szCs w:val="21"/>
                <w:highlight w:val="none"/>
              </w:rPr>
              <w:t>680</w:t>
            </w:r>
          </w:p>
        </w:tc>
        <w:tc>
          <w:tcPr>
            <w:tcW w:w="848" w:type="dxa"/>
            <w:tcBorders>
              <w:top w:val="nil"/>
              <w:left w:val="nil"/>
              <w:bottom w:val="single" w:sz="8" w:space="0" w:color="auto"/>
              <w:right w:val="single" w:sz="8" w:space="0" w:color="auto"/>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eastAsia"/>
                <w:b w:val="0"/>
                <w:bCs w:val="0"/>
                <w:color w:val="auto"/>
                <w:kern w:val="0"/>
                <w:szCs w:val="21"/>
                <w:highlight w:val="none"/>
              </w:rPr>
            </w:pPr>
            <w:r>
              <w:rPr>
                <w:rFonts w:ascii="Times New Roman" w:eastAsia="宋体" w:hAnsi="Times New Roman" w:cs="宋体" w:hint="eastAsia"/>
                <w:b w:val="0"/>
                <w:bCs w:val="0"/>
                <w:color w:val="auto"/>
                <w:kern w:val="0"/>
                <w:szCs w:val="21"/>
                <w:highlight w:val="none"/>
              </w:rPr>
              <w:t>620</w:t>
            </w:r>
          </w:p>
        </w:tc>
      </w:tr>
      <w:tr>
        <w:tblPrEx>
          <w:tblW w:w="9488" w:type="dxa"/>
          <w:jc w:val="center"/>
          <w:tblCellMar>
            <w:top w:w="0" w:type="dxa"/>
            <w:left w:w="108" w:type="dxa"/>
            <w:bottom w:w="0" w:type="dxa"/>
            <w:right w:w="108" w:type="dxa"/>
          </w:tblCellMar>
        </w:tblPrEx>
        <w:trPr>
          <w:trHeight w:val="820"/>
          <w:jc w:val="center"/>
        </w:trPr>
        <w:tc>
          <w:tcPr>
            <w:tcW w:w="960" w:type="dxa"/>
            <w:vMerge/>
            <w:tcBorders>
              <w:top w:val="nil"/>
              <w:left w:val="single" w:sz="8" w:space="0" w:color="auto"/>
              <w:bottom w:val="single" w:sz="8" w:space="0" w:color="000000"/>
              <w:right w:val="single" w:sz="8" w:space="0" w:color="auto"/>
            </w:tcBorders>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eastAsia"/>
                <w:b w:val="0"/>
                <w:bCs w:val="0"/>
                <w:color w:val="auto"/>
                <w:kern w:val="0"/>
                <w:szCs w:val="21"/>
                <w:highlight w:val="none"/>
              </w:rPr>
            </w:pPr>
          </w:p>
        </w:tc>
        <w:tc>
          <w:tcPr>
            <w:tcW w:w="960" w:type="dxa"/>
            <w:tcBorders>
              <w:top w:val="nil"/>
              <w:left w:val="nil"/>
              <w:bottom w:val="single" w:sz="8" w:space="0" w:color="auto"/>
              <w:right w:val="single" w:sz="8" w:space="0" w:color="auto"/>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eastAsia"/>
                <w:b w:val="0"/>
                <w:bCs w:val="0"/>
                <w:color w:val="auto"/>
                <w:kern w:val="0"/>
                <w:szCs w:val="21"/>
                <w:highlight w:val="none"/>
              </w:rPr>
            </w:pPr>
            <w:r>
              <w:rPr>
                <w:rFonts w:ascii="Times New Roman" w:eastAsia="宋体" w:hAnsi="Times New Roman" w:cs="宋体" w:hint="eastAsia"/>
                <w:b w:val="0"/>
                <w:bCs w:val="0"/>
                <w:color w:val="auto"/>
                <w:kern w:val="0"/>
                <w:szCs w:val="21"/>
                <w:highlight w:val="none"/>
              </w:rPr>
              <w:t>城区光宽带网络覆盖率</w:t>
            </w:r>
          </w:p>
        </w:tc>
        <w:tc>
          <w:tcPr>
            <w:tcW w:w="1120" w:type="dxa"/>
            <w:tcBorders>
              <w:top w:val="nil"/>
              <w:left w:val="nil"/>
              <w:bottom w:val="single" w:sz="8" w:space="0" w:color="auto"/>
              <w:right w:val="single" w:sz="8" w:space="0" w:color="auto"/>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eastAsia"/>
                <w:b w:val="0"/>
                <w:bCs w:val="0"/>
                <w:color w:val="auto"/>
                <w:kern w:val="0"/>
                <w:szCs w:val="21"/>
                <w:highlight w:val="none"/>
              </w:rPr>
            </w:pPr>
            <w:r>
              <w:rPr>
                <w:rFonts w:ascii="Times New Roman" w:eastAsia="宋体" w:hAnsi="Times New Roman" w:cs="宋体" w:hint="eastAsia"/>
                <w:b w:val="0"/>
                <w:bCs w:val="0"/>
                <w:color w:val="auto"/>
                <w:kern w:val="0"/>
                <w:szCs w:val="21"/>
                <w:highlight w:val="none"/>
              </w:rPr>
              <w:t>%</w:t>
            </w:r>
          </w:p>
        </w:tc>
        <w:tc>
          <w:tcPr>
            <w:tcW w:w="1340" w:type="dxa"/>
            <w:tcBorders>
              <w:top w:val="nil"/>
              <w:left w:val="nil"/>
              <w:bottom w:val="single" w:sz="8" w:space="0" w:color="auto"/>
              <w:right w:val="single" w:sz="8" w:space="0" w:color="auto"/>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default"/>
                <w:b w:val="0"/>
                <w:bCs w:val="0"/>
                <w:color w:val="auto"/>
                <w:kern w:val="0"/>
                <w:szCs w:val="21"/>
                <w:highlight w:val="none"/>
                <w:lang w:val="en-US" w:eastAsia="zh-CN"/>
              </w:rPr>
            </w:pPr>
            <w:r>
              <w:rPr>
                <w:rFonts w:ascii="Times New Roman" w:eastAsia="宋体" w:hAnsi="Times New Roman" w:cs="宋体" w:hint="eastAsia"/>
                <w:b w:val="0"/>
                <w:bCs w:val="0"/>
                <w:color w:val="auto"/>
                <w:kern w:val="0"/>
                <w:szCs w:val="21"/>
                <w:highlight w:val="none"/>
                <w:lang w:val="en-US" w:eastAsia="zh-CN"/>
              </w:rPr>
              <w:t>94</w:t>
            </w:r>
          </w:p>
        </w:tc>
        <w:tc>
          <w:tcPr>
            <w:tcW w:w="1380" w:type="dxa"/>
            <w:tcBorders>
              <w:top w:val="nil"/>
              <w:left w:val="nil"/>
              <w:bottom w:val="single" w:sz="8" w:space="0" w:color="auto"/>
              <w:right w:val="single" w:sz="8" w:space="0" w:color="auto"/>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default"/>
                <w:b w:val="0"/>
                <w:bCs w:val="0"/>
                <w:color w:val="auto"/>
                <w:kern w:val="0"/>
                <w:szCs w:val="21"/>
                <w:highlight w:val="none"/>
                <w:lang w:val="en-US" w:eastAsia="zh-CN"/>
              </w:rPr>
            </w:pPr>
            <w:r>
              <w:rPr>
                <w:rFonts w:ascii="Times New Roman" w:eastAsia="宋体" w:hAnsi="Times New Roman" w:cs="宋体" w:hint="eastAsia"/>
                <w:b w:val="0"/>
                <w:bCs w:val="0"/>
                <w:color w:val="auto"/>
                <w:kern w:val="0"/>
                <w:szCs w:val="21"/>
                <w:highlight w:val="none"/>
                <w:lang w:val="en-US" w:eastAsia="zh-CN"/>
              </w:rPr>
              <w:t>99</w:t>
            </w:r>
          </w:p>
        </w:tc>
        <w:tc>
          <w:tcPr>
            <w:tcW w:w="960" w:type="dxa"/>
            <w:tcBorders>
              <w:top w:val="nil"/>
              <w:left w:val="nil"/>
              <w:bottom w:val="single" w:sz="8" w:space="0" w:color="auto"/>
              <w:right w:val="single" w:sz="8" w:space="0" w:color="auto"/>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default"/>
                <w:b w:val="0"/>
                <w:bCs w:val="0"/>
                <w:color w:val="auto"/>
                <w:kern w:val="0"/>
                <w:szCs w:val="21"/>
                <w:highlight w:val="none"/>
                <w:lang w:val="en-US" w:eastAsia="zh-CN"/>
              </w:rPr>
            </w:pPr>
            <w:r>
              <w:rPr>
                <w:rFonts w:ascii="Times New Roman" w:eastAsia="宋体" w:hAnsi="Times New Roman" w:cs="宋体" w:hint="eastAsia"/>
                <w:b w:val="0"/>
                <w:bCs w:val="0"/>
                <w:color w:val="auto"/>
                <w:kern w:val="0"/>
                <w:szCs w:val="21"/>
                <w:highlight w:val="none"/>
                <w:lang w:val="en-US" w:eastAsia="zh-CN"/>
              </w:rPr>
              <w:t>99</w:t>
            </w:r>
          </w:p>
        </w:tc>
        <w:tc>
          <w:tcPr>
            <w:tcW w:w="960" w:type="dxa"/>
            <w:tcBorders>
              <w:top w:val="nil"/>
              <w:left w:val="nil"/>
              <w:bottom w:val="single" w:sz="8" w:space="0" w:color="auto"/>
              <w:right w:val="single" w:sz="8" w:space="0" w:color="auto"/>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default"/>
                <w:b w:val="0"/>
                <w:bCs w:val="0"/>
                <w:color w:val="auto"/>
                <w:kern w:val="0"/>
                <w:szCs w:val="21"/>
                <w:highlight w:val="none"/>
                <w:lang w:val="en-US" w:eastAsia="zh-CN"/>
              </w:rPr>
            </w:pPr>
            <w:r>
              <w:rPr>
                <w:rFonts w:ascii="Times New Roman" w:eastAsia="宋体" w:hAnsi="Times New Roman" w:cs="宋体" w:hint="eastAsia"/>
                <w:b w:val="0"/>
                <w:bCs w:val="0"/>
                <w:color w:val="auto"/>
                <w:kern w:val="0"/>
                <w:szCs w:val="21"/>
                <w:highlight w:val="none"/>
                <w:lang w:val="en-US" w:eastAsia="zh-CN"/>
              </w:rPr>
              <w:t>100</w:t>
            </w:r>
          </w:p>
        </w:tc>
        <w:tc>
          <w:tcPr>
            <w:tcW w:w="960" w:type="dxa"/>
            <w:tcBorders>
              <w:top w:val="nil"/>
              <w:left w:val="nil"/>
              <w:bottom w:val="single" w:sz="8" w:space="0" w:color="auto"/>
              <w:right w:val="single" w:sz="8" w:space="0" w:color="auto"/>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default"/>
                <w:b w:val="0"/>
                <w:bCs w:val="0"/>
                <w:color w:val="auto"/>
                <w:kern w:val="0"/>
                <w:szCs w:val="21"/>
                <w:highlight w:val="none"/>
                <w:lang w:val="en-US" w:eastAsia="zh-CN"/>
              </w:rPr>
            </w:pPr>
            <w:r>
              <w:rPr>
                <w:rFonts w:ascii="Times New Roman" w:eastAsia="宋体" w:hAnsi="Times New Roman" w:cs="宋体" w:hint="eastAsia"/>
                <w:b w:val="0"/>
                <w:bCs w:val="0"/>
                <w:color w:val="auto"/>
                <w:kern w:val="0"/>
                <w:szCs w:val="21"/>
                <w:highlight w:val="none"/>
                <w:lang w:val="en-US" w:eastAsia="zh-CN"/>
              </w:rPr>
              <w:t>100</w:t>
            </w:r>
          </w:p>
        </w:tc>
        <w:tc>
          <w:tcPr>
            <w:tcW w:w="848" w:type="dxa"/>
            <w:tcBorders>
              <w:top w:val="nil"/>
              <w:left w:val="nil"/>
              <w:bottom w:val="single" w:sz="8" w:space="0" w:color="auto"/>
              <w:right w:val="single" w:sz="8" w:space="0" w:color="auto"/>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hint="default"/>
                <w:b w:val="0"/>
                <w:bCs w:val="0"/>
                <w:color w:val="auto"/>
                <w:kern w:val="0"/>
                <w:szCs w:val="21"/>
                <w:highlight w:val="none"/>
                <w:lang w:val="en-US" w:eastAsia="zh-CN"/>
              </w:rPr>
            </w:pPr>
            <w:r>
              <w:rPr>
                <w:rFonts w:ascii="Times New Roman" w:eastAsia="宋体" w:hAnsi="Times New Roman" w:cs="宋体" w:hint="eastAsia"/>
                <w:b w:val="0"/>
                <w:bCs w:val="0"/>
                <w:color w:val="auto"/>
                <w:kern w:val="0"/>
                <w:szCs w:val="21"/>
                <w:highlight w:val="none"/>
                <w:lang w:val="en-US" w:eastAsia="zh-CN"/>
              </w:rPr>
              <w:t>100</w:t>
            </w:r>
          </w:p>
        </w:tc>
      </w:tr>
    </w:tbl>
    <w:p>
      <w:pPr>
        <w:pStyle w:val="NormalIndent"/>
        <w:rPr>
          <w:color w:val="auto"/>
          <w:highlight w:val="none"/>
        </w:rPr>
      </w:pPr>
    </w:p>
    <w:p>
      <w:pPr>
        <w:pStyle w:val="ListParagraph"/>
        <w:adjustRightInd w:val="0"/>
        <w:spacing w:line="360" w:lineRule="auto"/>
        <w:ind w:left="0" w:firstLine="480"/>
        <w:jc w:val="left"/>
        <w:rPr>
          <w:rFonts w:ascii="宋体" w:eastAsia="宋体" w:hAnsi="宋体"/>
          <w:color w:val="auto"/>
          <w:sz w:val="24"/>
          <w:szCs w:val="24"/>
          <w:highlight w:val="none"/>
        </w:rPr>
      </w:pPr>
      <w:r>
        <w:rPr>
          <w:rFonts w:ascii="宋体" w:eastAsia="宋体" w:hAnsi="宋体" w:hint="eastAsia"/>
          <w:color w:val="auto"/>
          <w:sz w:val="24"/>
          <w:szCs w:val="24"/>
          <w:highlight w:val="none"/>
        </w:rPr>
        <w:t>2、</w:t>
      </w:r>
      <w:r>
        <w:rPr>
          <w:rFonts w:ascii="宋体" w:eastAsia="宋体" w:hAnsi="宋体"/>
          <w:color w:val="auto"/>
          <w:sz w:val="24"/>
          <w:szCs w:val="24"/>
          <w:highlight w:val="none"/>
        </w:rPr>
        <w:t>便于管理</w:t>
      </w:r>
    </w:p>
    <w:p>
      <w:pPr>
        <w:adjustRightInd w:val="0"/>
        <w:spacing w:line="360" w:lineRule="auto"/>
        <w:ind w:left="0" w:firstLine="480"/>
        <w:jc w:val="left"/>
        <w:rPr>
          <w:rFonts w:ascii="宋体" w:eastAsia="宋体" w:hAnsi="宋体"/>
          <w:color w:val="auto"/>
          <w:sz w:val="24"/>
          <w:szCs w:val="24"/>
          <w:highlight w:val="none"/>
        </w:rPr>
      </w:pPr>
      <w:r>
        <w:rPr>
          <w:rFonts w:ascii="宋体" w:eastAsia="宋体" w:hAnsi="宋体" w:hint="eastAsia"/>
          <w:color w:val="auto"/>
          <w:sz w:val="24"/>
          <w:szCs w:val="24"/>
          <w:highlight w:val="none"/>
        </w:rPr>
        <w:t>通过合理的规划，使通信基础设施适应各区域的特点和功能布局。避免频繁报建和反复开挖，做到有序建设，可管可控。最终提供安全可靠、开放灵活、可扩展、可重新利用、充分适应新技术发展的宽带数字通信系统，高质量地满足区域快速发展的通信需求，提高城市竞争力，支撑本地区的持续快速发展。</w:t>
      </w:r>
    </w:p>
    <w:p>
      <w:pPr>
        <w:pStyle w:val="ListParagraph"/>
        <w:adjustRightInd w:val="0"/>
        <w:spacing w:line="360" w:lineRule="auto"/>
        <w:ind w:left="0" w:firstLine="480"/>
        <w:jc w:val="left"/>
        <w:rPr>
          <w:rFonts w:ascii="宋体" w:eastAsia="宋体" w:hAnsi="宋体"/>
          <w:color w:val="auto"/>
          <w:sz w:val="24"/>
          <w:szCs w:val="24"/>
          <w:highlight w:val="none"/>
        </w:rPr>
      </w:pPr>
      <w:r>
        <w:rPr>
          <w:rFonts w:ascii="宋体" w:eastAsia="宋体" w:hAnsi="宋体" w:hint="eastAsia"/>
          <w:color w:val="auto"/>
          <w:sz w:val="24"/>
          <w:szCs w:val="24"/>
          <w:highlight w:val="none"/>
        </w:rPr>
        <w:t>3、</w:t>
      </w:r>
      <w:r>
        <w:rPr>
          <w:rFonts w:ascii="宋体" w:eastAsia="宋体" w:hAnsi="宋体"/>
          <w:color w:val="auto"/>
          <w:sz w:val="24"/>
          <w:szCs w:val="24"/>
          <w:highlight w:val="none"/>
        </w:rPr>
        <w:t>绿色低碳</w:t>
      </w:r>
    </w:p>
    <w:p>
      <w:pPr>
        <w:adjustRightInd w:val="0"/>
        <w:spacing w:line="360" w:lineRule="auto"/>
        <w:ind w:left="0" w:firstLine="480"/>
        <w:jc w:val="left"/>
        <w:rPr>
          <w:rFonts w:ascii="宋体" w:eastAsia="宋体" w:hAnsi="宋体"/>
          <w:color w:val="auto"/>
          <w:sz w:val="24"/>
          <w:szCs w:val="24"/>
          <w:highlight w:val="none"/>
        </w:rPr>
      </w:pPr>
      <w:r>
        <w:rPr>
          <w:rFonts w:ascii="宋体" w:eastAsia="宋体" w:hAnsi="宋体" w:hint="eastAsia"/>
          <w:color w:val="auto"/>
          <w:sz w:val="24"/>
          <w:szCs w:val="24"/>
          <w:highlight w:val="none"/>
        </w:rPr>
        <w:t>绿色是永续发展的必要条件和人民对美好生活追求的重要体现。满足建设资源节约型、环境友好型社会的要求，通过统一规划，促进通信基础设施共建共享，节约土地、能源和原材料的消耗，保护自然环境和景观，减少重复建设，提高通信基础设施利用率。</w:t>
      </w:r>
    </w:p>
    <w:p>
      <w:pPr>
        <w:pStyle w:val="Heading3"/>
        <w:spacing w:line="240" w:lineRule="auto"/>
        <w:ind w:left="0" w:firstLine="482"/>
        <w:rPr>
          <w:rFonts w:ascii="Times New Roman" w:eastAsia="宋体" w:hAnsi="Times New Roman" w:cstheme="majorEastAsia"/>
          <w:color w:val="auto"/>
          <w:sz w:val="24"/>
          <w:szCs w:val="24"/>
          <w:highlight w:val="none"/>
        </w:rPr>
      </w:pPr>
      <w:bookmarkStart w:id="19" w:name="_Toc16891"/>
      <w:r>
        <w:rPr>
          <w:rFonts w:ascii="Times New Roman" w:eastAsia="宋体" w:hAnsi="Times New Roman" w:cstheme="majorEastAsia" w:hint="eastAsia"/>
          <w:color w:val="auto"/>
          <w:sz w:val="24"/>
          <w:szCs w:val="24"/>
          <w:highlight w:val="none"/>
        </w:rPr>
        <w:t>二、发展</w:t>
      </w:r>
      <w:r>
        <w:rPr>
          <w:rFonts w:ascii="Times New Roman" w:eastAsia="宋体" w:hAnsi="Times New Roman" w:cstheme="majorEastAsia"/>
          <w:color w:val="auto"/>
          <w:sz w:val="24"/>
          <w:szCs w:val="24"/>
          <w:highlight w:val="none"/>
        </w:rPr>
        <w:t>需求</w:t>
      </w:r>
      <w:bookmarkEnd w:id="19"/>
    </w:p>
    <w:p>
      <w:pPr>
        <w:spacing w:line="240" w:lineRule="auto"/>
        <w:ind w:left="0" w:firstLine="480"/>
        <w:rPr>
          <w:rFonts w:ascii="Times New Roman" w:eastAsia="宋体" w:hAnsi="Times New Roman"/>
          <w:color w:val="auto"/>
          <w:sz w:val="24"/>
          <w:szCs w:val="28"/>
          <w:highlight w:val="none"/>
        </w:rPr>
      </w:pPr>
      <w:r>
        <w:rPr>
          <w:rFonts w:ascii="Times New Roman" w:eastAsia="宋体" w:hAnsi="Times New Roman" w:hint="eastAsia"/>
          <w:color w:val="auto"/>
          <w:sz w:val="24"/>
          <w:szCs w:val="28"/>
          <w:highlight w:val="none"/>
        </w:rPr>
        <w:t>1、5G个人用户预测</w:t>
      </w:r>
      <w:bookmarkEnd w:id="18"/>
    </w:p>
    <w:p>
      <w:pPr>
        <w:spacing w:line="240" w:lineRule="auto"/>
        <w:ind w:left="0" w:firstLine="480"/>
        <w:rPr>
          <w:rFonts w:ascii="Times New Roman" w:eastAsia="宋体" w:hAnsi="Times New Roman"/>
          <w:color w:val="auto"/>
          <w:sz w:val="24"/>
          <w:szCs w:val="28"/>
          <w:highlight w:val="none"/>
        </w:rPr>
      </w:pPr>
      <w:r>
        <w:rPr>
          <w:rFonts w:ascii="Times New Roman" w:eastAsia="宋体" w:hAnsi="Times New Roman" w:hint="eastAsia"/>
          <w:color w:val="auto"/>
          <w:sz w:val="24"/>
          <w:szCs w:val="28"/>
          <w:highlight w:val="none"/>
        </w:rPr>
        <w:t>2013年12月，工业和信息化部向三家运营商颁发“LTE/第四代数字蜂窝移动通信业务（TD-LTE）”经营许可， 2015年2月27日，工信部向中国电信、中国联通发放了LTE FDD 4G牌照，广西2015年开始大规模建设4G基站。2015年以来玉林市4G用户渗透率如下图所示：</w:t>
      </w:r>
    </w:p>
    <w:p>
      <w:pPr>
        <w:spacing w:line="240" w:lineRule="auto"/>
        <w:ind w:left="0" w:firstLine="420"/>
        <w:jc w:val="center"/>
        <w:rPr>
          <w:rFonts w:ascii="Times New Roman" w:eastAsia="宋体" w:hAnsi="Times New Roman"/>
          <w:color w:val="auto"/>
          <w:szCs w:val="21"/>
          <w:highlight w:val="none"/>
        </w:rPr>
      </w:pPr>
      <w:r>
        <w:rPr>
          <w:color w:val="auto"/>
          <w:highlight w:val="none"/>
        </w:rPr>
        <w:drawing>
          <wp:inline distT="0" distB="0" distL="114300" distR="114300">
            <wp:extent cx="4572000" cy="2743200"/>
            <wp:effectExtent l="4445" t="4445" r="14605" b="14605"/>
            <wp:docPr id="1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spacing w:line="240" w:lineRule="auto"/>
        <w:ind w:left="0" w:firstLine="422"/>
        <w:jc w:val="center"/>
        <w:rPr>
          <w:rFonts w:ascii="Times New Roman" w:eastAsia="宋体" w:hAnsi="Times New Roman"/>
          <w:b/>
          <w:bCs/>
          <w:color w:val="auto"/>
          <w:szCs w:val="21"/>
          <w:highlight w:val="none"/>
        </w:rPr>
      </w:pPr>
      <w:r>
        <w:rPr>
          <w:rFonts w:ascii="Times New Roman" w:eastAsia="宋体" w:hAnsi="Times New Roman" w:hint="eastAsia"/>
          <w:b/>
          <w:bCs/>
          <w:color w:val="auto"/>
          <w:szCs w:val="21"/>
          <w:highlight w:val="none"/>
        </w:rPr>
        <w:t>图4-1 4G用户渗透率</w:t>
      </w:r>
    </w:p>
    <w:p>
      <w:pPr>
        <w:spacing w:line="240" w:lineRule="auto"/>
        <w:ind w:left="0" w:firstLine="480"/>
        <w:rPr>
          <w:rFonts w:ascii="Times New Roman" w:eastAsia="宋体" w:hAnsi="Times New Roman"/>
          <w:color w:val="auto"/>
          <w:sz w:val="24"/>
          <w:szCs w:val="28"/>
          <w:highlight w:val="none"/>
        </w:rPr>
      </w:pPr>
      <w:r>
        <w:rPr>
          <w:rFonts w:ascii="Times New Roman" w:eastAsia="宋体" w:hAnsi="Times New Roman" w:hint="eastAsia"/>
          <w:color w:val="auto"/>
          <w:sz w:val="24"/>
          <w:szCs w:val="28"/>
          <w:highlight w:val="none"/>
        </w:rPr>
        <w:t>由上图可以看出，新网络的用户替代旧网络用户在第5年将达到80%左右。2020年开始大规模建设5G网络，对应4G网络的2015年，期间各年5G渗透率可以参考4G用户渗透率发展情况，进行用户预测。</w:t>
      </w:r>
    </w:p>
    <w:p>
      <w:pPr>
        <w:spacing w:line="240" w:lineRule="auto"/>
        <w:ind w:left="0" w:firstLine="480"/>
        <w:rPr>
          <w:rFonts w:ascii="Times New Roman" w:eastAsia="宋体" w:hAnsi="Times New Roman"/>
          <w:color w:val="auto"/>
          <w:sz w:val="24"/>
          <w:szCs w:val="28"/>
          <w:highlight w:val="none"/>
        </w:rPr>
      </w:pPr>
      <w:r>
        <w:rPr>
          <w:rFonts w:ascii="Times New Roman" w:eastAsia="宋体" w:hAnsi="Times New Roman" w:hint="eastAsia"/>
          <w:color w:val="auto"/>
          <w:sz w:val="24"/>
          <w:szCs w:val="28"/>
          <w:highlight w:val="none"/>
        </w:rPr>
        <w:t>近年移动业务发展迅速，移动用户也大幅增长，202</w:t>
      </w:r>
      <w:r>
        <w:rPr>
          <w:rFonts w:ascii="Times New Roman" w:eastAsia="宋体" w:hAnsi="Times New Roman" w:hint="eastAsia"/>
          <w:color w:val="auto"/>
          <w:sz w:val="24"/>
          <w:szCs w:val="28"/>
          <w:highlight w:val="none"/>
          <w:lang w:val="en-US" w:eastAsia="zh-CN"/>
        </w:rPr>
        <w:t>3</w:t>
      </w:r>
      <w:r>
        <w:rPr>
          <w:rFonts w:ascii="Times New Roman" w:eastAsia="宋体" w:hAnsi="Times New Roman" w:hint="eastAsia"/>
          <w:color w:val="auto"/>
          <w:sz w:val="24"/>
          <w:szCs w:val="28"/>
          <w:highlight w:val="none"/>
        </w:rPr>
        <w:t>年玉林市移动用户普及率达到</w:t>
      </w:r>
      <w:r>
        <w:rPr>
          <w:rFonts w:ascii="Times New Roman" w:eastAsia="宋体" w:hAnsi="Times New Roman"/>
          <w:color w:val="auto"/>
          <w:sz w:val="24"/>
          <w:szCs w:val="28"/>
          <w:highlight w:val="none"/>
        </w:rPr>
        <w:t>8</w:t>
      </w:r>
      <w:r>
        <w:rPr>
          <w:rFonts w:ascii="Times New Roman" w:eastAsia="宋体" w:hAnsi="Times New Roman" w:hint="eastAsia"/>
          <w:color w:val="auto"/>
          <w:sz w:val="24"/>
          <w:szCs w:val="28"/>
          <w:highlight w:val="none"/>
        </w:rPr>
        <w:t>8</w:t>
      </w:r>
      <w:r>
        <w:rPr>
          <w:rFonts w:ascii="Times New Roman" w:eastAsia="宋体" w:hAnsi="Times New Roman"/>
          <w:color w:val="auto"/>
          <w:sz w:val="24"/>
          <w:szCs w:val="28"/>
          <w:highlight w:val="none"/>
        </w:rPr>
        <w:t>%</w:t>
      </w:r>
      <w:r>
        <w:rPr>
          <w:rFonts w:ascii="Times New Roman" w:eastAsia="宋体" w:hAnsi="Times New Roman" w:hint="eastAsia"/>
          <w:color w:val="auto"/>
          <w:sz w:val="24"/>
          <w:szCs w:val="28"/>
          <w:highlight w:val="none"/>
        </w:rPr>
        <w:t>，已经达到较高的水平</w:t>
      </w:r>
      <w:r>
        <w:rPr>
          <w:rFonts w:ascii="Times New Roman" w:eastAsia="宋体" w:hAnsi="Times New Roman" w:hint="eastAsia"/>
          <w:color w:val="auto"/>
          <w:sz w:val="24"/>
          <w:szCs w:val="28"/>
          <w:highlight w:val="none"/>
          <w:lang w:eastAsia="zh-CN"/>
        </w:rPr>
        <w:t>，</w:t>
      </w:r>
      <w:r>
        <w:rPr>
          <w:rFonts w:ascii="Times New Roman" w:eastAsia="宋体" w:hAnsi="Times New Roman" w:hint="eastAsia"/>
          <w:color w:val="auto"/>
          <w:sz w:val="24"/>
          <w:szCs w:val="28"/>
          <w:highlight w:val="none"/>
        </w:rPr>
        <w:t>随后用户增长速度会稍微减缓，增长率按年减半来预测</w:t>
      </w:r>
      <w:r>
        <w:rPr>
          <w:rFonts w:ascii="Times New Roman" w:eastAsia="宋体" w:hAnsi="Times New Roman" w:hint="eastAsia"/>
          <w:color w:val="auto"/>
          <w:sz w:val="24"/>
          <w:szCs w:val="28"/>
          <w:highlight w:val="none"/>
          <w:lang w:eastAsia="zh-CN"/>
        </w:rPr>
        <w:t>，</w:t>
      </w:r>
      <w:r>
        <w:rPr>
          <w:rFonts w:ascii="Times New Roman" w:eastAsia="宋体" w:hAnsi="Times New Roman" w:hint="eastAsia"/>
          <w:color w:val="auto"/>
          <w:sz w:val="24"/>
          <w:szCs w:val="28"/>
          <w:highlight w:val="none"/>
        </w:rPr>
        <w:t>到2035年底玉林市移动用户将达到</w:t>
      </w:r>
      <w:r>
        <w:rPr>
          <w:rFonts w:ascii="Times New Roman" w:eastAsia="宋体" w:hAnsi="Times New Roman" w:hint="eastAsia"/>
          <w:color w:val="auto"/>
          <w:sz w:val="24"/>
          <w:szCs w:val="28"/>
          <w:highlight w:val="none"/>
          <w:lang w:val="en-US" w:eastAsia="zh-CN"/>
        </w:rPr>
        <w:t>586</w:t>
      </w:r>
      <w:r>
        <w:rPr>
          <w:rFonts w:ascii="Times New Roman" w:eastAsia="宋体" w:hAnsi="Times New Roman" w:hint="eastAsia"/>
          <w:color w:val="auto"/>
          <w:sz w:val="24"/>
          <w:szCs w:val="28"/>
          <w:highlight w:val="none"/>
        </w:rPr>
        <w:t>万户。具体预测如下表所示：</w:t>
      </w:r>
    </w:p>
    <w:p>
      <w:pPr>
        <w:spacing w:line="240" w:lineRule="auto"/>
        <w:ind w:left="0" w:firstLine="422"/>
        <w:jc w:val="center"/>
        <w:rPr>
          <w:rFonts w:ascii="Times New Roman" w:eastAsia="宋体" w:hAnsi="Times New Roman" w:hint="eastAsia"/>
          <w:b/>
          <w:bCs/>
          <w:color w:val="auto"/>
          <w:szCs w:val="21"/>
          <w:highlight w:val="none"/>
        </w:rPr>
      </w:pPr>
      <w:r>
        <w:rPr>
          <w:rFonts w:ascii="Times New Roman" w:eastAsia="宋体" w:hAnsi="Times New Roman" w:hint="eastAsia"/>
          <w:b/>
          <w:bCs/>
          <w:color w:val="auto"/>
          <w:szCs w:val="21"/>
          <w:highlight w:val="none"/>
        </w:rPr>
        <w:t>表4-</w:t>
      </w:r>
      <w:r>
        <w:rPr>
          <w:rFonts w:ascii="Times New Roman" w:eastAsia="宋体" w:hAnsi="Times New Roman" w:hint="eastAsia"/>
          <w:b/>
          <w:bCs/>
          <w:color w:val="auto"/>
          <w:szCs w:val="21"/>
          <w:highlight w:val="none"/>
          <w:lang w:val="en-US" w:eastAsia="zh-CN"/>
        </w:rPr>
        <w:t>2</w:t>
      </w:r>
      <w:r>
        <w:rPr>
          <w:rFonts w:ascii="Times New Roman" w:eastAsia="宋体" w:hAnsi="Times New Roman" w:hint="eastAsia"/>
          <w:b/>
          <w:bCs/>
          <w:color w:val="auto"/>
          <w:szCs w:val="21"/>
          <w:highlight w:val="none"/>
        </w:rPr>
        <w:t xml:space="preserve">  规划期内移动用户预测</w:t>
      </w:r>
    </w:p>
    <w:p>
      <w:pPr>
        <w:pStyle w:val="NormalIndent"/>
        <w:rPr>
          <w:color w:val="auto"/>
          <w:highlight w:val="none"/>
        </w:rPr>
      </w:pPr>
    </w:p>
    <w:tbl>
      <w:tblPr>
        <w:tblStyle w:val="TableNormal"/>
        <w:tblW w:w="10560" w:type="dxa"/>
        <w:jc w:val="center"/>
        <w:tblCellMar>
          <w:top w:w="0" w:type="dxa"/>
          <w:left w:w="108" w:type="dxa"/>
          <w:bottom w:w="0" w:type="dxa"/>
          <w:right w:w="108" w:type="dxa"/>
        </w:tblCellMar>
      </w:tblPr>
      <w:tblGrid>
        <w:gridCol w:w="960"/>
        <w:gridCol w:w="960"/>
        <w:gridCol w:w="960"/>
        <w:gridCol w:w="960"/>
        <w:gridCol w:w="960"/>
        <w:gridCol w:w="960"/>
        <w:gridCol w:w="960"/>
        <w:gridCol w:w="960"/>
        <w:gridCol w:w="960"/>
        <w:gridCol w:w="960"/>
        <w:gridCol w:w="960"/>
      </w:tblGrid>
      <w:tr>
        <w:tblPrEx>
          <w:tblW w:w="10560" w:type="dxa"/>
          <w:jc w:val="center"/>
          <w:tblCellMar>
            <w:top w:w="0" w:type="dxa"/>
            <w:left w:w="108" w:type="dxa"/>
            <w:bottom w:w="0" w:type="dxa"/>
            <w:right w:w="108" w:type="dxa"/>
          </w:tblCellMar>
        </w:tblPrEx>
        <w:trPr>
          <w:trHeight w:val="810"/>
          <w:jc w:val="center"/>
        </w:trPr>
        <w:tc>
          <w:tcPr>
            <w:tcW w:w="960" w:type="dxa"/>
            <w:tcBorders>
              <w:top w:val="single" w:sz="8" w:space="0" w:color="000000"/>
              <w:left w:val="single" w:sz="8" w:space="0" w:color="000000"/>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移动用户数（万户）</w:t>
            </w:r>
          </w:p>
        </w:tc>
        <w:tc>
          <w:tcPr>
            <w:tcW w:w="960" w:type="dxa"/>
            <w:tcBorders>
              <w:top w:val="single" w:sz="8" w:space="0" w:color="000000"/>
              <w:left w:val="nil"/>
              <w:bottom w:val="single" w:sz="8" w:space="0" w:color="000000"/>
              <w:right w:val="single" w:sz="8" w:space="0" w:color="000000"/>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b/>
                <w:bCs/>
                <w:color w:val="auto"/>
                <w:kern w:val="0"/>
                <w:szCs w:val="21"/>
                <w:highlight w:val="none"/>
              </w:rPr>
            </w:pPr>
          </w:p>
        </w:tc>
        <w:tc>
          <w:tcPr>
            <w:tcW w:w="960" w:type="dxa"/>
            <w:tcBorders>
              <w:top w:val="single" w:sz="8" w:space="0" w:color="000000"/>
              <w:left w:val="nil"/>
              <w:bottom w:val="single" w:sz="8" w:space="0" w:color="000000"/>
              <w:right w:val="single" w:sz="8" w:space="0" w:color="000000"/>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b/>
                <w:bCs/>
                <w:color w:val="auto"/>
                <w:kern w:val="0"/>
                <w:szCs w:val="21"/>
                <w:highlight w:val="none"/>
              </w:rPr>
            </w:pPr>
          </w:p>
        </w:tc>
        <w:tc>
          <w:tcPr>
            <w:tcW w:w="960" w:type="dxa"/>
            <w:tcBorders>
              <w:top w:val="single" w:sz="8" w:space="0" w:color="000000"/>
              <w:left w:val="nil"/>
              <w:bottom w:val="single" w:sz="8" w:space="0" w:color="000000"/>
              <w:right w:val="single" w:sz="8" w:space="0" w:color="000000"/>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b/>
                <w:bCs/>
                <w:color w:val="auto"/>
                <w:kern w:val="0"/>
                <w:szCs w:val="21"/>
                <w:highlight w:val="none"/>
              </w:rPr>
            </w:pPr>
          </w:p>
        </w:tc>
        <w:tc>
          <w:tcPr>
            <w:tcW w:w="960" w:type="dxa"/>
            <w:tcBorders>
              <w:top w:val="single" w:sz="8" w:space="0" w:color="000000"/>
              <w:left w:val="nil"/>
              <w:bottom w:val="single" w:sz="8" w:space="0" w:color="000000"/>
              <w:right w:val="single" w:sz="8" w:space="0" w:color="000000"/>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b/>
                <w:bCs/>
                <w:color w:val="auto"/>
                <w:kern w:val="0"/>
                <w:szCs w:val="21"/>
                <w:highlight w:val="none"/>
              </w:rPr>
            </w:pPr>
          </w:p>
        </w:tc>
        <w:tc>
          <w:tcPr>
            <w:tcW w:w="960" w:type="dxa"/>
            <w:tcBorders>
              <w:top w:val="single" w:sz="8" w:space="0" w:color="000000"/>
              <w:left w:val="nil"/>
              <w:bottom w:val="single" w:sz="8" w:space="0" w:color="000000"/>
              <w:right w:val="single" w:sz="8" w:space="0" w:color="000000"/>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b/>
                <w:bCs/>
                <w:color w:val="auto"/>
                <w:kern w:val="0"/>
                <w:szCs w:val="21"/>
                <w:highlight w:val="none"/>
              </w:rPr>
            </w:pPr>
          </w:p>
        </w:tc>
        <w:tc>
          <w:tcPr>
            <w:tcW w:w="960" w:type="dxa"/>
            <w:tcBorders>
              <w:top w:val="single" w:sz="8" w:space="0" w:color="000000"/>
              <w:left w:val="nil"/>
              <w:bottom w:val="single" w:sz="8" w:space="0" w:color="000000"/>
              <w:right w:val="single" w:sz="8" w:space="0" w:color="000000"/>
            </w:tcBorders>
            <w:shd w:val="clear" w:color="auto" w:fill="auto"/>
            <w:vAlign w:val="center"/>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b/>
                <w:bCs/>
                <w:color w:val="auto"/>
                <w:kern w:val="0"/>
                <w:szCs w:val="21"/>
                <w:highlight w:val="none"/>
              </w:rPr>
            </w:pPr>
          </w:p>
        </w:tc>
        <w:tc>
          <w:tcPr>
            <w:tcW w:w="960" w:type="dxa"/>
            <w:tcBorders>
              <w:top w:val="single" w:sz="8" w:space="0" w:color="000000"/>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both"/>
              <w:rPr>
                <w:rFonts w:ascii="Times New Roman" w:eastAsia="宋体" w:hAnsi="Times New Roman" w:cs="宋体"/>
                <w:b/>
                <w:bCs/>
                <w:color w:val="auto"/>
                <w:kern w:val="0"/>
                <w:szCs w:val="21"/>
                <w:highlight w:val="none"/>
              </w:rPr>
            </w:pPr>
          </w:p>
        </w:tc>
        <w:tc>
          <w:tcPr>
            <w:tcW w:w="960" w:type="dxa"/>
            <w:tcBorders>
              <w:top w:val="single" w:sz="8" w:space="0" w:color="000000"/>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2024</w:t>
            </w:r>
            <w:r>
              <w:rPr>
                <w:rFonts w:ascii="Times New Roman" w:eastAsia="宋体" w:hAnsi="Times New Roman" w:cs="宋体" w:hint="default"/>
                <w:b/>
                <w:bCs/>
                <w:color w:val="auto"/>
                <w:kern w:val="0"/>
                <w:szCs w:val="21"/>
                <w:highlight w:val="none"/>
              </w:rPr>
              <w:t>年</w:t>
            </w:r>
          </w:p>
        </w:tc>
        <w:tc>
          <w:tcPr>
            <w:tcW w:w="960" w:type="dxa"/>
            <w:tcBorders>
              <w:top w:val="single" w:sz="8" w:space="0" w:color="000000"/>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2025</w:t>
            </w:r>
            <w:r>
              <w:rPr>
                <w:rFonts w:ascii="Times New Roman" w:eastAsia="宋体" w:hAnsi="Times New Roman" w:cs="宋体" w:hint="default"/>
                <w:b/>
                <w:bCs/>
                <w:color w:val="auto"/>
                <w:kern w:val="0"/>
                <w:szCs w:val="21"/>
                <w:highlight w:val="none"/>
              </w:rPr>
              <w:t>年</w:t>
            </w:r>
          </w:p>
        </w:tc>
        <w:tc>
          <w:tcPr>
            <w:tcW w:w="960"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b/>
                <w:bCs/>
                <w:color w:val="auto"/>
                <w:kern w:val="0"/>
                <w:szCs w:val="21"/>
                <w:highlight w:val="none"/>
              </w:rPr>
            </w:pPr>
          </w:p>
        </w:tc>
      </w:tr>
      <w:tr>
        <w:tblPrEx>
          <w:tblW w:w="10560" w:type="dxa"/>
          <w:jc w:val="center"/>
          <w:tblCellMar>
            <w:top w:w="0" w:type="dxa"/>
            <w:left w:w="108" w:type="dxa"/>
            <w:bottom w:w="0" w:type="dxa"/>
            <w:right w:w="108" w:type="dxa"/>
          </w:tblCellMar>
        </w:tblPrEx>
        <w:trPr>
          <w:trHeight w:val="285"/>
          <w:jc w:val="center"/>
        </w:trPr>
        <w:tc>
          <w:tcPr>
            <w:tcW w:w="960" w:type="dxa"/>
            <w:tcBorders>
              <w:top w:val="nil"/>
              <w:left w:val="single" w:sz="8" w:space="0" w:color="000000"/>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玉林</w:t>
            </w:r>
          </w:p>
        </w:tc>
        <w:tc>
          <w:tcPr>
            <w:tcW w:w="960" w:type="dxa"/>
            <w:tcBorders>
              <w:top w:val="nil"/>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color w:val="auto"/>
                <w:kern w:val="0"/>
                <w:szCs w:val="21"/>
                <w:highlight w:val="none"/>
              </w:rPr>
            </w:pPr>
          </w:p>
        </w:tc>
        <w:tc>
          <w:tcPr>
            <w:tcW w:w="960" w:type="dxa"/>
            <w:tcBorders>
              <w:top w:val="nil"/>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color w:val="auto"/>
                <w:kern w:val="0"/>
                <w:szCs w:val="21"/>
                <w:highlight w:val="none"/>
              </w:rPr>
            </w:pPr>
          </w:p>
        </w:tc>
        <w:tc>
          <w:tcPr>
            <w:tcW w:w="960" w:type="dxa"/>
            <w:tcBorders>
              <w:top w:val="nil"/>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color w:val="auto"/>
                <w:kern w:val="0"/>
                <w:szCs w:val="21"/>
                <w:highlight w:val="none"/>
              </w:rPr>
            </w:pPr>
          </w:p>
        </w:tc>
        <w:tc>
          <w:tcPr>
            <w:tcW w:w="960" w:type="dxa"/>
            <w:tcBorders>
              <w:top w:val="nil"/>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color w:val="auto"/>
                <w:kern w:val="0"/>
                <w:szCs w:val="21"/>
                <w:highlight w:val="none"/>
              </w:rPr>
            </w:pPr>
          </w:p>
        </w:tc>
        <w:tc>
          <w:tcPr>
            <w:tcW w:w="960" w:type="dxa"/>
            <w:tcBorders>
              <w:top w:val="nil"/>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color w:val="auto"/>
                <w:kern w:val="0"/>
                <w:szCs w:val="21"/>
                <w:highlight w:val="none"/>
              </w:rPr>
            </w:pPr>
          </w:p>
        </w:tc>
        <w:tc>
          <w:tcPr>
            <w:tcW w:w="960" w:type="dxa"/>
            <w:tcBorders>
              <w:top w:val="nil"/>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color w:val="auto"/>
                <w:kern w:val="0"/>
                <w:szCs w:val="21"/>
                <w:highlight w:val="none"/>
              </w:rPr>
            </w:pPr>
          </w:p>
        </w:tc>
        <w:tc>
          <w:tcPr>
            <w:tcW w:w="960" w:type="dxa"/>
            <w:tcBorders>
              <w:top w:val="nil"/>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color w:val="auto"/>
                <w:kern w:val="0"/>
                <w:szCs w:val="21"/>
                <w:highlight w:val="none"/>
              </w:rPr>
            </w:pPr>
          </w:p>
        </w:tc>
        <w:tc>
          <w:tcPr>
            <w:tcW w:w="960" w:type="dxa"/>
            <w:tcBorders>
              <w:top w:val="nil"/>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57</w:t>
            </w:r>
            <w:r>
              <w:rPr>
                <w:rFonts w:ascii="Times New Roman" w:eastAsia="宋体" w:hAnsi="Times New Roman" w:cs="宋体" w:hint="eastAsia"/>
                <w:color w:val="auto"/>
                <w:kern w:val="0"/>
                <w:szCs w:val="21"/>
                <w:highlight w:val="none"/>
                <w:lang w:val="en-US" w:eastAsia="zh-CN"/>
              </w:rPr>
              <w:t>2</w:t>
            </w:r>
          </w:p>
        </w:tc>
        <w:tc>
          <w:tcPr>
            <w:tcW w:w="960" w:type="dxa"/>
            <w:tcBorders>
              <w:top w:val="nil"/>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5</w:t>
            </w:r>
            <w:r>
              <w:rPr>
                <w:rFonts w:ascii="Times New Roman" w:eastAsia="宋体" w:hAnsi="Times New Roman" w:cs="宋体" w:hint="eastAsia"/>
                <w:color w:val="auto"/>
                <w:kern w:val="0"/>
                <w:szCs w:val="21"/>
                <w:highlight w:val="none"/>
                <w:lang w:val="en-US" w:eastAsia="zh-CN"/>
              </w:rPr>
              <w:t>75</w:t>
            </w:r>
          </w:p>
        </w:tc>
        <w:tc>
          <w:tcPr>
            <w:tcW w:w="960" w:type="dxa"/>
            <w:tcBorders>
              <w:top w:val="nil"/>
              <w:left w:val="nil"/>
              <w:bottom w:val="nil"/>
              <w:right w:val="nil"/>
            </w:tcBorders>
            <w:shd w:val="clear" w:color="auto" w:fill="auto"/>
            <w:noWrap/>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color w:val="auto"/>
                <w:kern w:val="0"/>
                <w:szCs w:val="21"/>
                <w:highlight w:val="none"/>
              </w:rPr>
            </w:pPr>
          </w:p>
        </w:tc>
      </w:tr>
      <w:tr>
        <w:tblPrEx>
          <w:tblW w:w="10560" w:type="dxa"/>
          <w:jc w:val="center"/>
          <w:tblCellMar>
            <w:top w:w="0" w:type="dxa"/>
            <w:left w:w="108" w:type="dxa"/>
            <w:bottom w:w="0" w:type="dxa"/>
            <w:right w:w="108" w:type="dxa"/>
          </w:tblCellMar>
        </w:tblPrEx>
        <w:trPr>
          <w:trHeight w:val="825"/>
          <w:jc w:val="center"/>
        </w:trPr>
        <w:tc>
          <w:tcPr>
            <w:tcW w:w="960" w:type="dxa"/>
            <w:tcBorders>
              <w:top w:val="single" w:sz="8" w:space="0" w:color="000000"/>
              <w:left w:val="single" w:sz="8" w:space="0" w:color="000000"/>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移动用户数（万户）</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2026</w:t>
            </w:r>
            <w:r>
              <w:rPr>
                <w:rFonts w:ascii="Times New Roman" w:eastAsia="宋体" w:hAnsi="Times New Roman" w:cs="宋体" w:hint="default"/>
                <w:b/>
                <w:bCs/>
                <w:color w:val="auto"/>
                <w:kern w:val="0"/>
                <w:szCs w:val="21"/>
                <w:highlight w:val="none"/>
              </w:rPr>
              <w:t>年</w:t>
            </w:r>
          </w:p>
        </w:tc>
        <w:tc>
          <w:tcPr>
            <w:tcW w:w="960" w:type="dxa"/>
            <w:tcBorders>
              <w:top w:val="single" w:sz="8" w:space="0" w:color="000000"/>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2027</w:t>
            </w:r>
            <w:r>
              <w:rPr>
                <w:rFonts w:ascii="Times New Roman" w:eastAsia="宋体" w:hAnsi="Times New Roman" w:cs="宋体" w:hint="default"/>
                <w:b/>
                <w:bCs/>
                <w:color w:val="auto"/>
                <w:kern w:val="0"/>
                <w:szCs w:val="21"/>
                <w:highlight w:val="none"/>
              </w:rPr>
              <w:t>年</w:t>
            </w:r>
          </w:p>
        </w:tc>
        <w:tc>
          <w:tcPr>
            <w:tcW w:w="960" w:type="dxa"/>
            <w:tcBorders>
              <w:top w:val="single" w:sz="8" w:space="0" w:color="000000"/>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2028</w:t>
            </w:r>
            <w:r>
              <w:rPr>
                <w:rFonts w:ascii="Times New Roman" w:eastAsia="宋体" w:hAnsi="Times New Roman" w:cs="宋体" w:hint="default"/>
                <w:b/>
                <w:bCs/>
                <w:color w:val="auto"/>
                <w:kern w:val="0"/>
                <w:szCs w:val="21"/>
                <w:highlight w:val="none"/>
              </w:rPr>
              <w:t>年</w:t>
            </w:r>
          </w:p>
        </w:tc>
        <w:tc>
          <w:tcPr>
            <w:tcW w:w="960" w:type="dxa"/>
            <w:tcBorders>
              <w:top w:val="single" w:sz="8" w:space="0" w:color="000000"/>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2029</w:t>
            </w:r>
            <w:r>
              <w:rPr>
                <w:rFonts w:ascii="Times New Roman" w:eastAsia="宋体" w:hAnsi="Times New Roman" w:cs="宋体" w:hint="default"/>
                <w:b/>
                <w:bCs/>
                <w:color w:val="auto"/>
                <w:kern w:val="0"/>
                <w:szCs w:val="21"/>
                <w:highlight w:val="none"/>
              </w:rPr>
              <w:t>年</w:t>
            </w:r>
          </w:p>
        </w:tc>
        <w:tc>
          <w:tcPr>
            <w:tcW w:w="960" w:type="dxa"/>
            <w:tcBorders>
              <w:top w:val="single" w:sz="8" w:space="0" w:color="000000"/>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2030</w:t>
            </w:r>
            <w:r>
              <w:rPr>
                <w:rFonts w:ascii="Times New Roman" w:eastAsia="宋体" w:hAnsi="Times New Roman" w:cs="宋体" w:hint="default"/>
                <w:b/>
                <w:bCs/>
                <w:color w:val="auto"/>
                <w:kern w:val="0"/>
                <w:szCs w:val="21"/>
                <w:highlight w:val="none"/>
              </w:rPr>
              <w:t>年</w:t>
            </w:r>
          </w:p>
        </w:tc>
        <w:tc>
          <w:tcPr>
            <w:tcW w:w="960" w:type="dxa"/>
            <w:tcBorders>
              <w:top w:val="single" w:sz="8" w:space="0" w:color="000000"/>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2031</w:t>
            </w:r>
            <w:r>
              <w:rPr>
                <w:rFonts w:ascii="Times New Roman" w:eastAsia="宋体" w:hAnsi="Times New Roman" w:cs="宋体" w:hint="default"/>
                <w:b/>
                <w:bCs/>
                <w:color w:val="auto"/>
                <w:kern w:val="0"/>
                <w:szCs w:val="21"/>
                <w:highlight w:val="none"/>
              </w:rPr>
              <w:t>年</w:t>
            </w:r>
          </w:p>
        </w:tc>
        <w:tc>
          <w:tcPr>
            <w:tcW w:w="960" w:type="dxa"/>
            <w:tcBorders>
              <w:top w:val="single" w:sz="8" w:space="0" w:color="000000"/>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2032</w:t>
            </w:r>
            <w:r>
              <w:rPr>
                <w:rFonts w:ascii="Times New Roman" w:eastAsia="宋体" w:hAnsi="Times New Roman" w:cs="宋体" w:hint="default"/>
                <w:b/>
                <w:bCs/>
                <w:color w:val="auto"/>
                <w:kern w:val="0"/>
                <w:szCs w:val="21"/>
                <w:highlight w:val="none"/>
              </w:rPr>
              <w:t>年</w:t>
            </w:r>
          </w:p>
        </w:tc>
        <w:tc>
          <w:tcPr>
            <w:tcW w:w="960" w:type="dxa"/>
            <w:tcBorders>
              <w:top w:val="single" w:sz="8" w:space="0" w:color="000000"/>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2033</w:t>
            </w:r>
            <w:r>
              <w:rPr>
                <w:rFonts w:ascii="Times New Roman" w:eastAsia="宋体" w:hAnsi="Times New Roman" w:cs="宋体" w:hint="default"/>
                <w:b/>
                <w:bCs/>
                <w:color w:val="auto"/>
                <w:kern w:val="0"/>
                <w:szCs w:val="21"/>
                <w:highlight w:val="none"/>
              </w:rPr>
              <w:t>年</w:t>
            </w:r>
          </w:p>
        </w:tc>
        <w:tc>
          <w:tcPr>
            <w:tcW w:w="960" w:type="dxa"/>
            <w:tcBorders>
              <w:top w:val="single" w:sz="8" w:space="0" w:color="000000"/>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2034</w:t>
            </w:r>
            <w:r>
              <w:rPr>
                <w:rFonts w:ascii="Times New Roman" w:eastAsia="宋体" w:hAnsi="Times New Roman" w:cs="宋体" w:hint="default"/>
                <w:b/>
                <w:bCs/>
                <w:color w:val="auto"/>
                <w:kern w:val="0"/>
                <w:szCs w:val="21"/>
                <w:highlight w:val="none"/>
              </w:rPr>
              <w:t>年</w:t>
            </w:r>
          </w:p>
        </w:tc>
        <w:tc>
          <w:tcPr>
            <w:tcW w:w="960" w:type="dxa"/>
            <w:tcBorders>
              <w:top w:val="single" w:sz="8" w:space="0" w:color="000000"/>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2035</w:t>
            </w:r>
            <w:r>
              <w:rPr>
                <w:rFonts w:ascii="Times New Roman" w:eastAsia="宋体" w:hAnsi="Times New Roman" w:cs="宋体" w:hint="default"/>
                <w:b/>
                <w:bCs/>
                <w:color w:val="auto"/>
                <w:kern w:val="0"/>
                <w:szCs w:val="21"/>
                <w:highlight w:val="none"/>
              </w:rPr>
              <w:t>年</w:t>
            </w:r>
          </w:p>
        </w:tc>
      </w:tr>
      <w:tr>
        <w:tblPrEx>
          <w:tblW w:w="10560" w:type="dxa"/>
          <w:jc w:val="center"/>
          <w:tblCellMar>
            <w:top w:w="0" w:type="dxa"/>
            <w:left w:w="108" w:type="dxa"/>
            <w:bottom w:w="0" w:type="dxa"/>
            <w:right w:w="108" w:type="dxa"/>
          </w:tblCellMar>
        </w:tblPrEx>
        <w:trPr>
          <w:trHeight w:val="295"/>
          <w:jc w:val="center"/>
        </w:trPr>
        <w:tc>
          <w:tcPr>
            <w:tcW w:w="960" w:type="dxa"/>
            <w:tcBorders>
              <w:top w:val="nil"/>
              <w:left w:val="single" w:sz="8" w:space="0" w:color="000000"/>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玉林</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577</w:t>
            </w:r>
          </w:p>
        </w:tc>
        <w:tc>
          <w:tcPr>
            <w:tcW w:w="960" w:type="dxa"/>
            <w:tcBorders>
              <w:top w:val="nil"/>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578</w:t>
            </w:r>
          </w:p>
        </w:tc>
        <w:tc>
          <w:tcPr>
            <w:tcW w:w="960" w:type="dxa"/>
            <w:tcBorders>
              <w:top w:val="nil"/>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57</w:t>
            </w:r>
            <w:r>
              <w:rPr>
                <w:rFonts w:ascii="Times New Roman" w:eastAsia="宋体" w:hAnsi="Times New Roman" w:cs="宋体" w:hint="eastAsia"/>
                <w:color w:val="auto"/>
                <w:kern w:val="0"/>
                <w:szCs w:val="21"/>
                <w:highlight w:val="none"/>
                <w:lang w:val="en-US" w:eastAsia="zh-CN"/>
              </w:rPr>
              <w:t>9</w:t>
            </w:r>
          </w:p>
        </w:tc>
        <w:tc>
          <w:tcPr>
            <w:tcW w:w="960" w:type="dxa"/>
            <w:tcBorders>
              <w:top w:val="nil"/>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lang w:val="en-US" w:eastAsia="zh-CN"/>
              </w:rPr>
              <w:t>580</w:t>
            </w:r>
          </w:p>
        </w:tc>
        <w:tc>
          <w:tcPr>
            <w:tcW w:w="960" w:type="dxa"/>
            <w:tcBorders>
              <w:top w:val="nil"/>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lang w:val="en-US" w:eastAsia="zh-CN"/>
              </w:rPr>
              <w:t>581</w:t>
            </w:r>
          </w:p>
        </w:tc>
        <w:tc>
          <w:tcPr>
            <w:tcW w:w="960" w:type="dxa"/>
            <w:tcBorders>
              <w:top w:val="nil"/>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lang w:val="en-US" w:eastAsia="zh-CN"/>
              </w:rPr>
              <w:t>582</w:t>
            </w:r>
          </w:p>
        </w:tc>
        <w:tc>
          <w:tcPr>
            <w:tcW w:w="960" w:type="dxa"/>
            <w:tcBorders>
              <w:top w:val="nil"/>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lang w:val="en-US" w:eastAsia="zh-CN"/>
              </w:rPr>
              <w:t>583</w:t>
            </w:r>
          </w:p>
        </w:tc>
        <w:tc>
          <w:tcPr>
            <w:tcW w:w="960" w:type="dxa"/>
            <w:tcBorders>
              <w:top w:val="nil"/>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lang w:val="en-US" w:eastAsia="zh-CN"/>
              </w:rPr>
              <w:t>584</w:t>
            </w:r>
          </w:p>
        </w:tc>
        <w:tc>
          <w:tcPr>
            <w:tcW w:w="960" w:type="dxa"/>
            <w:tcBorders>
              <w:top w:val="nil"/>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lang w:val="en-US" w:eastAsia="zh-CN"/>
              </w:rPr>
              <w:t>585</w:t>
            </w:r>
          </w:p>
        </w:tc>
        <w:tc>
          <w:tcPr>
            <w:tcW w:w="960" w:type="dxa"/>
            <w:tcBorders>
              <w:top w:val="nil"/>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lang w:val="en-US" w:eastAsia="zh-CN"/>
              </w:rPr>
              <w:t>586</w:t>
            </w:r>
          </w:p>
        </w:tc>
      </w:tr>
    </w:tbl>
    <w:p>
      <w:pPr>
        <w:spacing w:line="240" w:lineRule="auto"/>
        <w:ind w:left="0" w:firstLine="480"/>
        <w:rPr>
          <w:rFonts w:ascii="Times New Roman" w:eastAsia="宋体" w:hAnsi="Times New Roman"/>
          <w:color w:val="auto"/>
          <w:sz w:val="24"/>
          <w:szCs w:val="28"/>
          <w:highlight w:val="none"/>
        </w:rPr>
      </w:pPr>
      <w:r>
        <w:rPr>
          <w:rFonts w:ascii="Times New Roman" w:eastAsia="宋体" w:hAnsi="Times New Roman" w:hint="eastAsia"/>
          <w:color w:val="auto"/>
          <w:sz w:val="24"/>
          <w:szCs w:val="28"/>
          <w:highlight w:val="none"/>
        </w:rPr>
        <w:t>结合移动用户发展及参考4G渗透率，规划期内5G用户预测结果如下表所示：</w:t>
      </w:r>
    </w:p>
    <w:p>
      <w:pPr>
        <w:spacing w:line="240" w:lineRule="auto"/>
        <w:ind w:left="0" w:firstLine="480"/>
        <w:rPr>
          <w:rFonts w:ascii="Times New Roman" w:eastAsia="宋体" w:hAnsi="Times New Roman"/>
          <w:color w:val="auto"/>
          <w:sz w:val="24"/>
          <w:szCs w:val="28"/>
          <w:highlight w:val="none"/>
        </w:rPr>
      </w:pPr>
    </w:p>
    <w:p>
      <w:pPr>
        <w:spacing w:line="240" w:lineRule="auto"/>
        <w:ind w:left="0" w:firstLine="422"/>
        <w:jc w:val="center"/>
        <w:rPr>
          <w:rFonts w:ascii="Times New Roman" w:eastAsia="宋体" w:hAnsi="Times New Roman"/>
          <w:b/>
          <w:bCs/>
          <w:color w:val="auto"/>
          <w:szCs w:val="21"/>
          <w:highlight w:val="none"/>
        </w:rPr>
      </w:pPr>
      <w:r>
        <w:rPr>
          <w:rFonts w:ascii="Times New Roman" w:eastAsia="宋体" w:hAnsi="Times New Roman" w:hint="eastAsia"/>
          <w:b/>
          <w:bCs/>
          <w:color w:val="auto"/>
          <w:szCs w:val="21"/>
          <w:highlight w:val="none"/>
        </w:rPr>
        <w:t>表4-</w:t>
      </w:r>
      <w:r>
        <w:rPr>
          <w:rFonts w:ascii="Times New Roman" w:eastAsia="宋体" w:hAnsi="Times New Roman" w:hint="eastAsia"/>
          <w:b/>
          <w:bCs/>
          <w:color w:val="auto"/>
          <w:szCs w:val="21"/>
          <w:highlight w:val="none"/>
          <w:lang w:val="en-US" w:eastAsia="zh-CN"/>
        </w:rPr>
        <w:t>3</w:t>
      </w:r>
      <w:r>
        <w:rPr>
          <w:rFonts w:ascii="Times New Roman" w:eastAsia="宋体" w:hAnsi="Times New Roman" w:hint="eastAsia"/>
          <w:b/>
          <w:bCs/>
          <w:color w:val="auto"/>
          <w:szCs w:val="21"/>
          <w:highlight w:val="none"/>
        </w:rPr>
        <w:t xml:space="preserve">  规划期内5G用户数量预测</w:t>
      </w:r>
    </w:p>
    <w:p>
      <w:pPr>
        <w:spacing w:line="240" w:lineRule="auto"/>
        <w:ind w:left="0" w:firstLine="422"/>
        <w:jc w:val="center"/>
        <w:rPr>
          <w:rFonts w:ascii="Times New Roman" w:eastAsia="宋体" w:hAnsi="Times New Roman"/>
          <w:b/>
          <w:bCs/>
          <w:color w:val="auto"/>
          <w:szCs w:val="21"/>
          <w:highlight w:val="none"/>
        </w:rPr>
      </w:pPr>
    </w:p>
    <w:tbl>
      <w:tblPr>
        <w:tblStyle w:val="TableNormal"/>
        <w:tblW w:w="8400" w:type="dxa"/>
        <w:jc w:val="center"/>
        <w:tblCellMar>
          <w:top w:w="0" w:type="dxa"/>
          <w:left w:w="108" w:type="dxa"/>
          <w:bottom w:w="0" w:type="dxa"/>
          <w:right w:w="108" w:type="dxa"/>
        </w:tblCellMar>
      </w:tblPr>
      <w:tblGrid>
        <w:gridCol w:w="1680"/>
        <w:gridCol w:w="960"/>
        <w:gridCol w:w="960"/>
        <w:gridCol w:w="960"/>
        <w:gridCol w:w="960"/>
        <w:gridCol w:w="960"/>
        <w:gridCol w:w="960"/>
        <w:gridCol w:w="960"/>
      </w:tblGrid>
      <w:tr>
        <w:tblPrEx>
          <w:tblW w:w="8400" w:type="dxa"/>
          <w:jc w:val="center"/>
          <w:tblCellMar>
            <w:top w:w="0" w:type="dxa"/>
            <w:left w:w="108" w:type="dxa"/>
            <w:bottom w:w="0" w:type="dxa"/>
            <w:right w:w="108" w:type="dxa"/>
          </w:tblCellMar>
        </w:tblPrEx>
        <w:trPr>
          <w:trHeight w:val="555"/>
          <w:jc w:val="center"/>
        </w:trPr>
        <w:tc>
          <w:tcPr>
            <w:tcW w:w="1680" w:type="dxa"/>
            <w:tcBorders>
              <w:top w:val="single" w:sz="8" w:space="0" w:color="000000"/>
              <w:left w:val="single" w:sz="8" w:space="0" w:color="000000"/>
              <w:bottom w:val="single" w:sz="8" w:space="0" w:color="000000"/>
              <w:right w:val="single" w:sz="8" w:space="0" w:color="000000"/>
            </w:tcBorders>
            <w:shd w:val="clear" w:color="auto" w:fill="auto"/>
            <w:vAlign w:val="top"/>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b/>
                <w:bCs/>
                <w:color w:val="auto"/>
                <w:kern w:val="0"/>
                <w:szCs w:val="21"/>
                <w:highlight w:val="none"/>
              </w:rPr>
            </w:pPr>
            <w:r>
              <w:rPr>
                <w:rFonts w:ascii="Calibri" w:eastAsia="宋体" w:hAnsi="Calibri" w:cs="Times New Roman" w:hint="default"/>
                <w:color w:val="auto"/>
                <w:highlight w:val="none"/>
                <w:lang w:bidi="ar"/>
              </w:rPr>
              <w:t>5G</w:t>
            </w:r>
            <w:r>
              <w:rPr>
                <w:rFonts w:ascii="Calibri" w:eastAsia="宋体" w:hAnsi="Calibri" w:cs="宋体" w:hint="eastAsia"/>
                <w:color w:val="auto"/>
                <w:highlight w:val="none"/>
                <w:lang w:bidi="ar"/>
              </w:rPr>
              <w:t>用户预测（万户）</w:t>
            </w:r>
          </w:p>
        </w:tc>
        <w:tc>
          <w:tcPr>
            <w:tcW w:w="960" w:type="dxa"/>
            <w:tcBorders>
              <w:top w:val="single" w:sz="8" w:space="0" w:color="000000"/>
              <w:left w:val="nil"/>
              <w:bottom w:val="single" w:sz="8" w:space="0" w:color="000000"/>
              <w:right w:val="single" w:sz="8" w:space="0" w:color="000000"/>
            </w:tcBorders>
            <w:shd w:val="clear" w:color="auto" w:fill="auto"/>
            <w:vAlign w:val="top"/>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b/>
                <w:bCs/>
                <w:color w:val="auto"/>
                <w:kern w:val="0"/>
                <w:szCs w:val="21"/>
                <w:highlight w:val="none"/>
              </w:rPr>
            </w:pPr>
          </w:p>
        </w:tc>
        <w:tc>
          <w:tcPr>
            <w:tcW w:w="960" w:type="dxa"/>
            <w:tcBorders>
              <w:top w:val="single" w:sz="8" w:space="0" w:color="000000"/>
              <w:left w:val="nil"/>
              <w:bottom w:val="single" w:sz="8" w:space="0" w:color="000000"/>
              <w:right w:val="single" w:sz="8" w:space="0" w:color="000000"/>
            </w:tcBorders>
            <w:shd w:val="clear" w:color="auto" w:fill="auto"/>
            <w:vAlign w:val="top"/>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b/>
                <w:bCs/>
                <w:color w:val="auto"/>
                <w:kern w:val="0"/>
                <w:szCs w:val="21"/>
                <w:highlight w:val="none"/>
              </w:rPr>
            </w:pPr>
            <w:r>
              <w:rPr>
                <w:rFonts w:ascii="Calibri" w:eastAsia="宋体" w:hAnsi="Calibri" w:cs="Times New Roman" w:hint="default"/>
                <w:color w:val="auto"/>
                <w:highlight w:val="none"/>
                <w:lang w:bidi="ar"/>
              </w:rPr>
              <w:t>2024</w:t>
            </w:r>
            <w:r>
              <w:rPr>
                <w:rFonts w:ascii="Calibri" w:eastAsia="宋体" w:hAnsi="Calibri" w:cs="宋体" w:hint="eastAsia"/>
                <w:color w:val="auto"/>
                <w:highlight w:val="none"/>
                <w:lang w:bidi="ar"/>
              </w:rPr>
              <w:t>年</w:t>
            </w:r>
          </w:p>
        </w:tc>
        <w:tc>
          <w:tcPr>
            <w:tcW w:w="960" w:type="dxa"/>
            <w:tcBorders>
              <w:top w:val="single" w:sz="8" w:space="0" w:color="000000"/>
              <w:left w:val="nil"/>
              <w:bottom w:val="single" w:sz="8" w:space="0" w:color="000000"/>
              <w:right w:val="single" w:sz="8" w:space="0" w:color="000000"/>
            </w:tcBorders>
            <w:shd w:val="clear" w:color="auto" w:fill="auto"/>
            <w:vAlign w:val="top"/>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b/>
                <w:bCs/>
                <w:color w:val="auto"/>
                <w:kern w:val="0"/>
                <w:szCs w:val="21"/>
                <w:highlight w:val="none"/>
              </w:rPr>
            </w:pPr>
            <w:r>
              <w:rPr>
                <w:rFonts w:ascii="Calibri" w:eastAsia="宋体" w:hAnsi="Calibri" w:cs="Times New Roman" w:hint="default"/>
                <w:color w:val="auto"/>
                <w:highlight w:val="none"/>
                <w:lang w:bidi="ar"/>
              </w:rPr>
              <w:t>2025</w:t>
            </w:r>
            <w:r>
              <w:rPr>
                <w:rFonts w:ascii="Calibri" w:eastAsia="宋体" w:hAnsi="Calibri" w:cs="宋体" w:hint="eastAsia"/>
                <w:color w:val="auto"/>
                <w:highlight w:val="none"/>
                <w:lang w:bidi="ar"/>
              </w:rPr>
              <w:t>年</w:t>
            </w:r>
          </w:p>
        </w:tc>
        <w:tc>
          <w:tcPr>
            <w:tcW w:w="960" w:type="dxa"/>
            <w:tcBorders>
              <w:top w:val="single" w:sz="8" w:space="0" w:color="000000"/>
              <w:left w:val="nil"/>
              <w:bottom w:val="single" w:sz="8" w:space="0" w:color="000000"/>
              <w:right w:val="single" w:sz="8" w:space="0" w:color="000000"/>
            </w:tcBorders>
            <w:shd w:val="clear" w:color="auto" w:fill="auto"/>
            <w:vAlign w:val="top"/>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b/>
                <w:bCs/>
                <w:color w:val="auto"/>
                <w:kern w:val="0"/>
                <w:szCs w:val="21"/>
                <w:highlight w:val="none"/>
              </w:rPr>
            </w:pPr>
            <w:r>
              <w:rPr>
                <w:rFonts w:ascii="Calibri" w:eastAsia="宋体" w:hAnsi="Calibri" w:cs="Times New Roman" w:hint="default"/>
                <w:color w:val="auto"/>
                <w:highlight w:val="none"/>
                <w:lang w:bidi="ar"/>
              </w:rPr>
              <w:t>2026</w:t>
            </w:r>
            <w:r>
              <w:rPr>
                <w:rFonts w:ascii="Calibri" w:eastAsia="宋体" w:hAnsi="Calibri" w:cs="宋体" w:hint="eastAsia"/>
                <w:color w:val="auto"/>
                <w:highlight w:val="none"/>
                <w:lang w:bidi="ar"/>
              </w:rPr>
              <w:t>年</w:t>
            </w:r>
          </w:p>
        </w:tc>
        <w:tc>
          <w:tcPr>
            <w:tcW w:w="960" w:type="dxa"/>
            <w:tcBorders>
              <w:top w:val="single" w:sz="8" w:space="0" w:color="000000"/>
              <w:left w:val="nil"/>
              <w:bottom w:val="single" w:sz="8" w:space="0" w:color="000000"/>
              <w:right w:val="single" w:sz="8" w:space="0" w:color="000000"/>
            </w:tcBorders>
            <w:shd w:val="clear" w:color="auto" w:fill="auto"/>
            <w:vAlign w:val="top"/>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b/>
                <w:bCs/>
                <w:color w:val="auto"/>
                <w:kern w:val="0"/>
                <w:szCs w:val="21"/>
                <w:highlight w:val="none"/>
              </w:rPr>
            </w:pPr>
            <w:r>
              <w:rPr>
                <w:rFonts w:ascii="Calibri" w:eastAsia="宋体" w:hAnsi="Calibri" w:cs="Times New Roman" w:hint="default"/>
                <w:color w:val="auto"/>
                <w:highlight w:val="none"/>
                <w:lang w:bidi="ar"/>
              </w:rPr>
              <w:t>2027</w:t>
            </w:r>
            <w:r>
              <w:rPr>
                <w:rFonts w:ascii="Calibri" w:eastAsia="宋体" w:hAnsi="Calibri" w:cs="宋体" w:hint="eastAsia"/>
                <w:color w:val="auto"/>
                <w:highlight w:val="none"/>
                <w:lang w:bidi="ar"/>
              </w:rPr>
              <w:t>年</w:t>
            </w:r>
          </w:p>
        </w:tc>
        <w:tc>
          <w:tcPr>
            <w:tcW w:w="960" w:type="dxa"/>
            <w:tcBorders>
              <w:top w:val="single" w:sz="8" w:space="0" w:color="000000"/>
              <w:left w:val="nil"/>
              <w:bottom w:val="single" w:sz="8" w:space="0" w:color="000000"/>
              <w:right w:val="single" w:sz="8" w:space="0" w:color="000000"/>
            </w:tcBorders>
            <w:shd w:val="clear" w:color="auto" w:fill="auto"/>
            <w:vAlign w:val="top"/>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b/>
                <w:bCs/>
                <w:color w:val="auto"/>
                <w:kern w:val="0"/>
                <w:szCs w:val="21"/>
                <w:highlight w:val="none"/>
              </w:rPr>
            </w:pPr>
            <w:r>
              <w:rPr>
                <w:rFonts w:ascii="Calibri" w:eastAsia="宋体" w:hAnsi="Calibri" w:cs="Times New Roman" w:hint="default"/>
                <w:color w:val="auto"/>
                <w:highlight w:val="none"/>
                <w:lang w:bidi="ar"/>
              </w:rPr>
              <w:t>2028</w:t>
            </w:r>
            <w:r>
              <w:rPr>
                <w:rFonts w:ascii="Calibri" w:eastAsia="宋体" w:hAnsi="Calibri" w:cs="宋体" w:hint="eastAsia"/>
                <w:color w:val="auto"/>
                <w:highlight w:val="none"/>
                <w:lang w:bidi="ar"/>
              </w:rPr>
              <w:t>年</w:t>
            </w:r>
          </w:p>
        </w:tc>
        <w:tc>
          <w:tcPr>
            <w:tcW w:w="960" w:type="dxa"/>
            <w:shd w:val="clear" w:color="auto" w:fill="auto"/>
            <w:noWrap/>
            <w:vAlign w:val="top"/>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b/>
                <w:bCs/>
                <w:color w:val="auto"/>
                <w:kern w:val="0"/>
                <w:szCs w:val="21"/>
                <w:highlight w:val="none"/>
              </w:rPr>
            </w:pPr>
          </w:p>
        </w:tc>
      </w:tr>
      <w:tr>
        <w:tblPrEx>
          <w:tblW w:w="8400" w:type="dxa"/>
          <w:jc w:val="center"/>
          <w:tblCellMar>
            <w:top w:w="0" w:type="dxa"/>
            <w:left w:w="108" w:type="dxa"/>
            <w:bottom w:w="0" w:type="dxa"/>
            <w:right w:w="108" w:type="dxa"/>
          </w:tblCellMar>
        </w:tblPrEx>
        <w:trPr>
          <w:trHeight w:val="295"/>
          <w:jc w:val="center"/>
        </w:trPr>
        <w:tc>
          <w:tcPr>
            <w:tcW w:w="1680" w:type="dxa"/>
            <w:tcBorders>
              <w:top w:val="nil"/>
              <w:left w:val="single" w:sz="8" w:space="0" w:color="000000"/>
              <w:bottom w:val="single" w:sz="8" w:space="0" w:color="000000"/>
              <w:right w:val="single" w:sz="8" w:space="0" w:color="000000"/>
            </w:tcBorders>
            <w:shd w:val="clear" w:color="auto" w:fill="auto"/>
            <w:noWrap/>
            <w:vAlign w:val="top"/>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r>
              <w:rPr>
                <w:rFonts w:ascii="Calibri" w:eastAsia="宋体" w:hAnsi="Calibri" w:cs="宋体" w:hint="eastAsia"/>
                <w:color w:val="auto"/>
                <w:highlight w:val="none"/>
                <w:lang w:bidi="ar"/>
              </w:rPr>
              <w:t>玉林</w:t>
            </w:r>
          </w:p>
        </w:tc>
        <w:tc>
          <w:tcPr>
            <w:tcW w:w="960" w:type="dxa"/>
            <w:tcBorders>
              <w:top w:val="nil"/>
              <w:left w:val="nil"/>
              <w:bottom w:val="single" w:sz="8" w:space="0" w:color="000000"/>
              <w:right w:val="single" w:sz="8" w:space="0" w:color="000000"/>
            </w:tcBorders>
            <w:shd w:val="clear" w:color="auto" w:fill="auto"/>
            <w:noWrap/>
            <w:vAlign w:val="top"/>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p>
        </w:tc>
        <w:tc>
          <w:tcPr>
            <w:tcW w:w="960" w:type="dxa"/>
            <w:tcBorders>
              <w:top w:val="nil"/>
              <w:left w:val="nil"/>
              <w:bottom w:val="single" w:sz="8" w:space="0" w:color="000000"/>
              <w:right w:val="single" w:sz="8" w:space="0" w:color="000000"/>
            </w:tcBorders>
            <w:shd w:val="clear" w:color="auto" w:fill="auto"/>
            <w:noWrap/>
            <w:vAlign w:val="top"/>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r>
              <w:rPr>
                <w:rFonts w:ascii="Calibri" w:eastAsia="宋体" w:hAnsi="Calibri" w:cs="Times New Roman" w:hint="default"/>
                <w:color w:val="auto"/>
                <w:highlight w:val="none"/>
                <w:lang w:bidi="ar"/>
              </w:rPr>
              <w:t>323</w:t>
            </w:r>
          </w:p>
        </w:tc>
        <w:tc>
          <w:tcPr>
            <w:tcW w:w="960" w:type="dxa"/>
            <w:tcBorders>
              <w:top w:val="nil"/>
              <w:left w:val="nil"/>
              <w:bottom w:val="single" w:sz="8" w:space="0" w:color="000000"/>
              <w:right w:val="single" w:sz="8" w:space="0" w:color="000000"/>
            </w:tcBorders>
            <w:shd w:val="clear" w:color="auto" w:fill="auto"/>
            <w:vAlign w:val="top"/>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r>
              <w:rPr>
                <w:rFonts w:ascii="Calibri" w:eastAsia="宋体" w:hAnsi="Calibri" w:cs="Times New Roman" w:hint="default"/>
                <w:color w:val="auto"/>
                <w:highlight w:val="none"/>
                <w:lang w:bidi="ar"/>
              </w:rPr>
              <w:t>400</w:t>
            </w:r>
          </w:p>
        </w:tc>
        <w:tc>
          <w:tcPr>
            <w:tcW w:w="960" w:type="dxa"/>
            <w:tcBorders>
              <w:top w:val="nil"/>
              <w:left w:val="nil"/>
              <w:bottom w:val="single" w:sz="8" w:space="0" w:color="000000"/>
              <w:right w:val="single" w:sz="8" w:space="0" w:color="000000"/>
            </w:tcBorders>
            <w:shd w:val="clear" w:color="auto" w:fill="auto"/>
            <w:vAlign w:val="top"/>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r>
              <w:rPr>
                <w:rFonts w:ascii="Calibri" w:eastAsia="宋体" w:hAnsi="Calibri" w:cs="Times New Roman" w:hint="default"/>
                <w:color w:val="auto"/>
                <w:highlight w:val="none"/>
                <w:lang w:bidi="ar"/>
              </w:rPr>
              <w:t>445</w:t>
            </w:r>
          </w:p>
        </w:tc>
        <w:tc>
          <w:tcPr>
            <w:tcW w:w="960" w:type="dxa"/>
            <w:tcBorders>
              <w:top w:val="nil"/>
              <w:left w:val="nil"/>
              <w:bottom w:val="single" w:sz="8" w:space="0" w:color="000000"/>
              <w:right w:val="single" w:sz="8" w:space="0" w:color="000000"/>
            </w:tcBorders>
            <w:shd w:val="clear" w:color="auto" w:fill="auto"/>
            <w:vAlign w:val="top"/>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r>
              <w:rPr>
                <w:rFonts w:ascii="Calibri" w:eastAsia="宋体" w:hAnsi="Calibri" w:cs="Times New Roman" w:hint="default"/>
                <w:color w:val="auto"/>
                <w:highlight w:val="none"/>
                <w:lang w:bidi="ar"/>
              </w:rPr>
              <w:t>465</w:t>
            </w:r>
          </w:p>
        </w:tc>
        <w:tc>
          <w:tcPr>
            <w:tcW w:w="960" w:type="dxa"/>
            <w:tcBorders>
              <w:top w:val="nil"/>
              <w:left w:val="nil"/>
              <w:bottom w:val="single" w:sz="8" w:space="0" w:color="000000"/>
              <w:right w:val="single" w:sz="8" w:space="0" w:color="000000"/>
            </w:tcBorders>
            <w:shd w:val="clear" w:color="auto" w:fill="auto"/>
            <w:vAlign w:val="top"/>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r>
              <w:rPr>
                <w:rFonts w:ascii="Calibri" w:eastAsia="宋体" w:hAnsi="Calibri" w:cs="Times New Roman" w:hint="default"/>
                <w:color w:val="auto"/>
                <w:highlight w:val="none"/>
                <w:lang w:bidi="ar"/>
              </w:rPr>
              <w:t>495</w:t>
            </w:r>
          </w:p>
        </w:tc>
        <w:tc>
          <w:tcPr>
            <w:tcW w:w="960" w:type="dxa"/>
            <w:shd w:val="clear" w:color="auto" w:fill="auto"/>
            <w:noWrap/>
            <w:vAlign w:val="top"/>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p>
        </w:tc>
      </w:tr>
      <w:tr>
        <w:tblPrEx>
          <w:tblW w:w="8400" w:type="dxa"/>
          <w:jc w:val="center"/>
          <w:tblCellMar>
            <w:top w:w="0" w:type="dxa"/>
            <w:left w:w="108" w:type="dxa"/>
            <w:bottom w:w="0" w:type="dxa"/>
            <w:right w:w="108" w:type="dxa"/>
          </w:tblCellMar>
        </w:tblPrEx>
        <w:trPr>
          <w:trHeight w:val="555"/>
          <w:jc w:val="center"/>
        </w:trPr>
        <w:tc>
          <w:tcPr>
            <w:tcW w:w="1680" w:type="dxa"/>
            <w:tcBorders>
              <w:top w:val="single" w:sz="8" w:space="0" w:color="000000"/>
              <w:left w:val="single" w:sz="8" w:space="0" w:color="000000"/>
              <w:bottom w:val="single" w:sz="8" w:space="0" w:color="000000"/>
              <w:right w:val="single" w:sz="8" w:space="0" w:color="000000"/>
            </w:tcBorders>
            <w:shd w:val="clear" w:color="auto" w:fill="auto"/>
            <w:vAlign w:val="top"/>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b/>
                <w:bCs/>
                <w:color w:val="auto"/>
                <w:kern w:val="0"/>
                <w:szCs w:val="21"/>
                <w:highlight w:val="none"/>
              </w:rPr>
            </w:pPr>
            <w:r>
              <w:rPr>
                <w:rFonts w:ascii="Calibri" w:eastAsia="宋体" w:hAnsi="Calibri" w:cs="Times New Roman" w:hint="default"/>
                <w:color w:val="auto"/>
                <w:highlight w:val="none"/>
                <w:lang w:bidi="ar"/>
              </w:rPr>
              <w:t>5G</w:t>
            </w:r>
            <w:r>
              <w:rPr>
                <w:rFonts w:ascii="Calibri" w:eastAsia="宋体" w:hAnsi="Calibri" w:cs="宋体" w:hint="eastAsia"/>
                <w:color w:val="auto"/>
                <w:highlight w:val="none"/>
                <w:lang w:bidi="ar"/>
              </w:rPr>
              <w:t>用户预测（万户）</w:t>
            </w:r>
          </w:p>
        </w:tc>
        <w:tc>
          <w:tcPr>
            <w:tcW w:w="960" w:type="dxa"/>
            <w:tcBorders>
              <w:top w:val="single" w:sz="8" w:space="0" w:color="000000"/>
              <w:left w:val="nil"/>
              <w:bottom w:val="single" w:sz="8" w:space="0" w:color="000000"/>
              <w:right w:val="single" w:sz="8" w:space="0" w:color="000000"/>
            </w:tcBorders>
            <w:shd w:val="clear" w:color="auto" w:fill="auto"/>
            <w:vAlign w:val="top"/>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b/>
                <w:bCs/>
                <w:color w:val="auto"/>
                <w:kern w:val="0"/>
                <w:szCs w:val="21"/>
                <w:highlight w:val="none"/>
              </w:rPr>
            </w:pPr>
            <w:r>
              <w:rPr>
                <w:rFonts w:ascii="Calibri" w:eastAsia="宋体" w:hAnsi="Calibri" w:cs="Times New Roman" w:hint="default"/>
                <w:color w:val="auto"/>
                <w:highlight w:val="none"/>
                <w:lang w:bidi="ar"/>
              </w:rPr>
              <w:t>2029</w:t>
            </w:r>
            <w:r>
              <w:rPr>
                <w:rFonts w:ascii="Calibri" w:eastAsia="宋体" w:hAnsi="Calibri" w:cs="宋体" w:hint="eastAsia"/>
                <w:color w:val="auto"/>
                <w:highlight w:val="none"/>
                <w:lang w:bidi="ar"/>
              </w:rPr>
              <w:t>年</w:t>
            </w:r>
          </w:p>
        </w:tc>
        <w:tc>
          <w:tcPr>
            <w:tcW w:w="960" w:type="dxa"/>
            <w:tcBorders>
              <w:top w:val="single" w:sz="8" w:space="0" w:color="000000"/>
              <w:left w:val="nil"/>
              <w:bottom w:val="single" w:sz="8" w:space="0" w:color="000000"/>
              <w:right w:val="single" w:sz="8" w:space="0" w:color="000000"/>
            </w:tcBorders>
            <w:shd w:val="clear" w:color="auto" w:fill="auto"/>
            <w:vAlign w:val="top"/>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b/>
                <w:bCs/>
                <w:color w:val="auto"/>
                <w:kern w:val="0"/>
                <w:szCs w:val="21"/>
                <w:highlight w:val="none"/>
              </w:rPr>
            </w:pPr>
            <w:r>
              <w:rPr>
                <w:rFonts w:ascii="Calibri" w:eastAsia="宋体" w:hAnsi="Calibri" w:cs="Times New Roman" w:hint="default"/>
                <w:color w:val="auto"/>
                <w:highlight w:val="none"/>
                <w:lang w:bidi="ar"/>
              </w:rPr>
              <w:t>2030</w:t>
            </w:r>
            <w:r>
              <w:rPr>
                <w:rFonts w:ascii="Calibri" w:eastAsia="宋体" w:hAnsi="Calibri" w:cs="宋体" w:hint="eastAsia"/>
                <w:color w:val="auto"/>
                <w:highlight w:val="none"/>
                <w:lang w:bidi="ar"/>
              </w:rPr>
              <w:t>年</w:t>
            </w:r>
          </w:p>
        </w:tc>
        <w:tc>
          <w:tcPr>
            <w:tcW w:w="960" w:type="dxa"/>
            <w:tcBorders>
              <w:top w:val="single" w:sz="8" w:space="0" w:color="000000"/>
              <w:left w:val="nil"/>
              <w:bottom w:val="single" w:sz="8" w:space="0" w:color="000000"/>
              <w:right w:val="single" w:sz="8" w:space="0" w:color="000000"/>
            </w:tcBorders>
            <w:shd w:val="clear" w:color="auto" w:fill="auto"/>
            <w:vAlign w:val="top"/>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b/>
                <w:bCs/>
                <w:color w:val="auto"/>
                <w:kern w:val="0"/>
                <w:szCs w:val="21"/>
                <w:highlight w:val="none"/>
              </w:rPr>
            </w:pPr>
            <w:r>
              <w:rPr>
                <w:rFonts w:ascii="Calibri" w:eastAsia="宋体" w:hAnsi="Calibri" w:cs="Times New Roman" w:hint="default"/>
                <w:color w:val="auto"/>
                <w:highlight w:val="none"/>
                <w:lang w:bidi="ar"/>
              </w:rPr>
              <w:t>2031</w:t>
            </w:r>
            <w:r>
              <w:rPr>
                <w:rFonts w:ascii="Calibri" w:eastAsia="宋体" w:hAnsi="Calibri" w:cs="宋体" w:hint="eastAsia"/>
                <w:color w:val="auto"/>
                <w:highlight w:val="none"/>
                <w:lang w:bidi="ar"/>
              </w:rPr>
              <w:t>年</w:t>
            </w:r>
          </w:p>
        </w:tc>
        <w:tc>
          <w:tcPr>
            <w:tcW w:w="960" w:type="dxa"/>
            <w:tcBorders>
              <w:top w:val="single" w:sz="8" w:space="0" w:color="000000"/>
              <w:left w:val="nil"/>
              <w:bottom w:val="single" w:sz="8" w:space="0" w:color="000000"/>
              <w:right w:val="single" w:sz="8" w:space="0" w:color="000000"/>
            </w:tcBorders>
            <w:shd w:val="clear" w:color="auto" w:fill="auto"/>
            <w:vAlign w:val="top"/>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b/>
                <w:bCs/>
                <w:color w:val="auto"/>
                <w:kern w:val="0"/>
                <w:szCs w:val="21"/>
                <w:highlight w:val="none"/>
              </w:rPr>
            </w:pPr>
            <w:r>
              <w:rPr>
                <w:rFonts w:ascii="Calibri" w:eastAsia="宋体" w:hAnsi="Calibri" w:cs="Times New Roman" w:hint="default"/>
                <w:color w:val="auto"/>
                <w:highlight w:val="none"/>
                <w:lang w:bidi="ar"/>
              </w:rPr>
              <w:t>2032</w:t>
            </w:r>
            <w:r>
              <w:rPr>
                <w:rFonts w:ascii="Calibri" w:eastAsia="宋体" w:hAnsi="Calibri" w:cs="宋体" w:hint="eastAsia"/>
                <w:color w:val="auto"/>
                <w:highlight w:val="none"/>
                <w:lang w:bidi="ar"/>
              </w:rPr>
              <w:t>年</w:t>
            </w:r>
          </w:p>
        </w:tc>
        <w:tc>
          <w:tcPr>
            <w:tcW w:w="960" w:type="dxa"/>
            <w:tcBorders>
              <w:top w:val="single" w:sz="8" w:space="0" w:color="000000"/>
              <w:left w:val="nil"/>
              <w:bottom w:val="single" w:sz="8" w:space="0" w:color="000000"/>
              <w:right w:val="single" w:sz="8" w:space="0" w:color="000000"/>
            </w:tcBorders>
            <w:shd w:val="clear" w:color="auto" w:fill="auto"/>
            <w:vAlign w:val="top"/>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b/>
                <w:bCs/>
                <w:color w:val="auto"/>
                <w:kern w:val="0"/>
                <w:szCs w:val="21"/>
                <w:highlight w:val="none"/>
              </w:rPr>
            </w:pPr>
            <w:r>
              <w:rPr>
                <w:rFonts w:ascii="Calibri" w:eastAsia="宋体" w:hAnsi="Calibri" w:cs="Times New Roman" w:hint="default"/>
                <w:color w:val="auto"/>
                <w:highlight w:val="none"/>
                <w:lang w:bidi="ar"/>
              </w:rPr>
              <w:t>2033</w:t>
            </w:r>
            <w:r>
              <w:rPr>
                <w:rFonts w:ascii="Calibri" w:eastAsia="宋体" w:hAnsi="Calibri" w:cs="宋体" w:hint="eastAsia"/>
                <w:color w:val="auto"/>
                <w:highlight w:val="none"/>
                <w:lang w:bidi="ar"/>
              </w:rPr>
              <w:t>年</w:t>
            </w:r>
          </w:p>
        </w:tc>
        <w:tc>
          <w:tcPr>
            <w:tcW w:w="960" w:type="dxa"/>
            <w:tcBorders>
              <w:top w:val="single" w:sz="8" w:space="0" w:color="000000"/>
              <w:left w:val="nil"/>
              <w:bottom w:val="single" w:sz="8" w:space="0" w:color="000000"/>
              <w:right w:val="single" w:sz="8" w:space="0" w:color="000000"/>
            </w:tcBorders>
            <w:shd w:val="clear" w:color="auto" w:fill="auto"/>
            <w:vAlign w:val="top"/>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b/>
                <w:bCs/>
                <w:color w:val="auto"/>
                <w:kern w:val="0"/>
                <w:szCs w:val="21"/>
                <w:highlight w:val="none"/>
              </w:rPr>
            </w:pPr>
            <w:r>
              <w:rPr>
                <w:rFonts w:ascii="Calibri" w:eastAsia="宋体" w:hAnsi="Calibri" w:cs="Times New Roman" w:hint="default"/>
                <w:color w:val="auto"/>
                <w:highlight w:val="none"/>
                <w:lang w:bidi="ar"/>
              </w:rPr>
              <w:t>2034</w:t>
            </w:r>
            <w:r>
              <w:rPr>
                <w:rFonts w:ascii="Calibri" w:eastAsia="宋体" w:hAnsi="Calibri" w:cs="宋体" w:hint="eastAsia"/>
                <w:color w:val="auto"/>
                <w:highlight w:val="none"/>
                <w:lang w:bidi="ar"/>
              </w:rPr>
              <w:t>年</w:t>
            </w:r>
          </w:p>
        </w:tc>
        <w:tc>
          <w:tcPr>
            <w:tcW w:w="960" w:type="dxa"/>
            <w:tcBorders>
              <w:top w:val="single" w:sz="8" w:space="0" w:color="000000"/>
              <w:left w:val="nil"/>
              <w:bottom w:val="single" w:sz="8" w:space="0" w:color="000000"/>
              <w:right w:val="single" w:sz="8" w:space="0" w:color="000000"/>
            </w:tcBorders>
            <w:shd w:val="clear" w:color="auto" w:fill="auto"/>
            <w:vAlign w:val="top"/>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b/>
                <w:bCs/>
                <w:color w:val="auto"/>
                <w:kern w:val="0"/>
                <w:szCs w:val="21"/>
                <w:highlight w:val="none"/>
              </w:rPr>
            </w:pPr>
            <w:r>
              <w:rPr>
                <w:rFonts w:ascii="Calibri" w:eastAsia="宋体" w:hAnsi="Calibri" w:cs="Times New Roman" w:hint="default"/>
                <w:color w:val="auto"/>
                <w:highlight w:val="none"/>
                <w:lang w:bidi="ar"/>
              </w:rPr>
              <w:t>2035</w:t>
            </w:r>
            <w:r>
              <w:rPr>
                <w:rFonts w:ascii="Calibri" w:eastAsia="宋体" w:hAnsi="Calibri" w:cs="宋体" w:hint="eastAsia"/>
                <w:color w:val="auto"/>
                <w:highlight w:val="none"/>
                <w:lang w:bidi="ar"/>
              </w:rPr>
              <w:t>年</w:t>
            </w:r>
          </w:p>
        </w:tc>
      </w:tr>
      <w:tr>
        <w:tblPrEx>
          <w:tblW w:w="8400" w:type="dxa"/>
          <w:jc w:val="center"/>
          <w:tblCellMar>
            <w:top w:w="0" w:type="dxa"/>
            <w:left w:w="108" w:type="dxa"/>
            <w:bottom w:w="0" w:type="dxa"/>
            <w:right w:w="108" w:type="dxa"/>
          </w:tblCellMar>
        </w:tblPrEx>
        <w:trPr>
          <w:trHeight w:val="295"/>
          <w:jc w:val="center"/>
        </w:trPr>
        <w:tc>
          <w:tcPr>
            <w:tcW w:w="1680" w:type="dxa"/>
            <w:tcBorders>
              <w:top w:val="nil"/>
              <w:left w:val="single" w:sz="8" w:space="0" w:color="000000"/>
              <w:bottom w:val="single" w:sz="8" w:space="0" w:color="000000"/>
              <w:right w:val="single" w:sz="8" w:space="0" w:color="000000"/>
            </w:tcBorders>
            <w:shd w:val="clear" w:color="auto" w:fill="auto"/>
            <w:noWrap/>
            <w:vAlign w:val="top"/>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r>
              <w:rPr>
                <w:rFonts w:ascii="Calibri" w:eastAsia="宋体" w:hAnsi="Calibri" w:cs="宋体" w:hint="eastAsia"/>
                <w:color w:val="auto"/>
                <w:highlight w:val="none"/>
                <w:lang w:bidi="ar"/>
              </w:rPr>
              <w:t>玉林</w:t>
            </w:r>
          </w:p>
        </w:tc>
        <w:tc>
          <w:tcPr>
            <w:tcW w:w="960" w:type="dxa"/>
            <w:tcBorders>
              <w:top w:val="nil"/>
              <w:left w:val="nil"/>
              <w:bottom w:val="single" w:sz="8" w:space="0" w:color="000000"/>
              <w:right w:val="single" w:sz="8" w:space="0" w:color="000000"/>
            </w:tcBorders>
            <w:shd w:val="clear" w:color="auto" w:fill="auto"/>
            <w:vAlign w:val="top"/>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r>
              <w:rPr>
                <w:rFonts w:ascii="Calibri" w:eastAsia="宋体" w:hAnsi="Calibri" w:cs="Times New Roman" w:hint="default"/>
                <w:color w:val="auto"/>
                <w:highlight w:val="none"/>
                <w:lang w:bidi="ar"/>
              </w:rPr>
              <w:t>520</w:t>
            </w:r>
          </w:p>
        </w:tc>
        <w:tc>
          <w:tcPr>
            <w:tcW w:w="960" w:type="dxa"/>
            <w:tcBorders>
              <w:top w:val="nil"/>
              <w:left w:val="nil"/>
              <w:bottom w:val="single" w:sz="8" w:space="0" w:color="000000"/>
              <w:right w:val="single" w:sz="8" w:space="0" w:color="000000"/>
            </w:tcBorders>
            <w:shd w:val="clear" w:color="auto" w:fill="auto"/>
            <w:vAlign w:val="top"/>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r>
              <w:rPr>
                <w:rFonts w:ascii="Calibri" w:eastAsia="宋体" w:hAnsi="Calibri" w:cs="Times New Roman" w:hint="default"/>
                <w:color w:val="auto"/>
                <w:highlight w:val="none"/>
                <w:lang w:bidi="ar"/>
              </w:rPr>
              <w:t>545</w:t>
            </w:r>
          </w:p>
        </w:tc>
        <w:tc>
          <w:tcPr>
            <w:tcW w:w="960" w:type="dxa"/>
            <w:tcBorders>
              <w:top w:val="nil"/>
              <w:left w:val="nil"/>
              <w:bottom w:val="single" w:sz="8" w:space="0" w:color="000000"/>
              <w:right w:val="single" w:sz="8" w:space="0" w:color="000000"/>
            </w:tcBorders>
            <w:shd w:val="clear" w:color="auto" w:fill="auto"/>
            <w:vAlign w:val="top"/>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r>
              <w:rPr>
                <w:rFonts w:ascii="Calibri" w:eastAsia="宋体" w:hAnsi="Calibri" w:cs="Times New Roman" w:hint="default"/>
                <w:color w:val="auto"/>
                <w:highlight w:val="none"/>
                <w:lang w:bidi="ar"/>
              </w:rPr>
              <w:t>5</w:t>
            </w:r>
            <w:r>
              <w:rPr>
                <w:rFonts w:ascii="Calibri" w:eastAsia="宋体" w:hAnsi="Calibri" w:cs="Times New Roman" w:hint="eastAsia"/>
                <w:color w:val="auto"/>
                <w:highlight w:val="none"/>
                <w:lang w:val="en-US" w:eastAsia="zh-CN" w:bidi="ar"/>
              </w:rPr>
              <w:t>50</w:t>
            </w:r>
          </w:p>
        </w:tc>
        <w:tc>
          <w:tcPr>
            <w:tcW w:w="960" w:type="dxa"/>
            <w:tcBorders>
              <w:top w:val="nil"/>
              <w:left w:val="nil"/>
              <w:bottom w:val="single" w:sz="8" w:space="0" w:color="000000"/>
              <w:right w:val="single" w:sz="8" w:space="0" w:color="000000"/>
            </w:tcBorders>
            <w:shd w:val="clear" w:color="auto" w:fill="auto"/>
            <w:vAlign w:val="top"/>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r>
              <w:rPr>
                <w:rFonts w:ascii="Calibri" w:eastAsia="宋体" w:hAnsi="Calibri" w:cs="Times New Roman" w:hint="default"/>
                <w:color w:val="auto"/>
                <w:highlight w:val="none"/>
                <w:lang w:bidi="ar"/>
              </w:rPr>
              <w:t>5</w:t>
            </w:r>
            <w:r>
              <w:rPr>
                <w:rFonts w:ascii="Calibri" w:eastAsia="宋体" w:hAnsi="Calibri" w:cs="Times New Roman" w:hint="eastAsia"/>
                <w:color w:val="auto"/>
                <w:highlight w:val="none"/>
                <w:lang w:val="en-US" w:eastAsia="zh-CN" w:bidi="ar"/>
              </w:rPr>
              <w:t>55</w:t>
            </w:r>
          </w:p>
        </w:tc>
        <w:tc>
          <w:tcPr>
            <w:tcW w:w="960" w:type="dxa"/>
            <w:tcBorders>
              <w:top w:val="nil"/>
              <w:left w:val="nil"/>
              <w:bottom w:val="single" w:sz="8" w:space="0" w:color="000000"/>
              <w:right w:val="single" w:sz="8" w:space="0" w:color="000000"/>
            </w:tcBorders>
            <w:shd w:val="clear" w:color="auto" w:fill="auto"/>
            <w:vAlign w:val="top"/>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r>
              <w:rPr>
                <w:rFonts w:ascii="Calibri" w:eastAsia="宋体" w:hAnsi="Calibri" w:cs="Times New Roman" w:hint="eastAsia"/>
                <w:color w:val="auto"/>
                <w:highlight w:val="none"/>
                <w:lang w:val="en-US" w:eastAsia="zh-CN" w:bidi="ar"/>
              </w:rPr>
              <w:t>560</w:t>
            </w:r>
          </w:p>
        </w:tc>
        <w:tc>
          <w:tcPr>
            <w:tcW w:w="960" w:type="dxa"/>
            <w:tcBorders>
              <w:top w:val="nil"/>
              <w:left w:val="nil"/>
              <w:bottom w:val="single" w:sz="8" w:space="0" w:color="000000"/>
              <w:right w:val="single" w:sz="8" w:space="0" w:color="000000"/>
            </w:tcBorders>
            <w:shd w:val="clear" w:color="auto" w:fill="auto"/>
            <w:vAlign w:val="top"/>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r>
              <w:rPr>
                <w:rFonts w:ascii="Calibri" w:eastAsia="宋体" w:hAnsi="Calibri" w:cs="Times New Roman" w:hint="eastAsia"/>
                <w:color w:val="auto"/>
                <w:highlight w:val="none"/>
                <w:lang w:val="en-US" w:eastAsia="zh-CN" w:bidi="ar"/>
              </w:rPr>
              <w:t>561</w:t>
            </w:r>
          </w:p>
        </w:tc>
        <w:tc>
          <w:tcPr>
            <w:tcW w:w="960" w:type="dxa"/>
            <w:tcBorders>
              <w:top w:val="nil"/>
              <w:left w:val="nil"/>
              <w:bottom w:val="single" w:sz="8" w:space="0" w:color="000000"/>
              <w:right w:val="single" w:sz="8" w:space="0" w:color="000000"/>
            </w:tcBorders>
            <w:shd w:val="clear" w:color="auto" w:fill="auto"/>
            <w:vAlign w:val="top"/>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r>
              <w:rPr>
                <w:rFonts w:ascii="Calibri" w:eastAsia="宋体" w:hAnsi="Calibri" w:cs="Times New Roman" w:hint="eastAsia"/>
                <w:color w:val="auto"/>
                <w:highlight w:val="none"/>
                <w:lang w:val="en-US" w:eastAsia="zh-CN" w:bidi="ar"/>
              </w:rPr>
              <w:t>562</w:t>
            </w:r>
          </w:p>
        </w:tc>
      </w:tr>
    </w:tbl>
    <w:p>
      <w:pPr>
        <w:spacing w:line="240" w:lineRule="auto"/>
        <w:ind w:left="0" w:firstLine="422"/>
        <w:jc w:val="center"/>
        <w:rPr>
          <w:rFonts w:ascii="Times New Roman" w:eastAsia="宋体" w:hAnsi="Times New Roman"/>
          <w:b/>
          <w:bCs/>
          <w:color w:val="auto"/>
          <w:szCs w:val="21"/>
          <w:highlight w:val="none"/>
        </w:rPr>
      </w:pPr>
    </w:p>
    <w:p>
      <w:pPr>
        <w:spacing w:line="240" w:lineRule="auto"/>
        <w:ind w:left="0" w:firstLine="422"/>
        <w:jc w:val="center"/>
        <w:rPr>
          <w:rFonts w:ascii="Times New Roman" w:eastAsia="宋体" w:hAnsi="Times New Roman"/>
          <w:b/>
          <w:bCs/>
          <w:color w:val="auto"/>
          <w:szCs w:val="21"/>
          <w:highlight w:val="none"/>
        </w:rPr>
      </w:pPr>
    </w:p>
    <w:p>
      <w:pPr>
        <w:spacing w:line="240" w:lineRule="auto"/>
        <w:ind w:left="0" w:firstLine="420"/>
        <w:jc w:val="left"/>
        <w:rPr>
          <w:rFonts w:ascii="Times New Roman" w:eastAsia="宋体" w:hAnsi="Times New Roman"/>
          <w:color w:val="auto"/>
          <w:szCs w:val="21"/>
          <w:highlight w:val="none"/>
        </w:rPr>
      </w:pPr>
      <w:r>
        <w:rPr>
          <w:color w:val="auto"/>
          <w:highlight w:val="none"/>
        </w:rPr>
        <w:drawing>
          <wp:inline distT="0" distB="0" distL="114300" distR="114300">
            <wp:extent cx="5840095" cy="3413760"/>
            <wp:effectExtent l="0" t="0" r="8255" b="1524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xmlns:r="http://schemas.openxmlformats.org/officeDocument/2006/relationships" r:embed="rId16"/>
                    <a:stretch>
                      <a:fillRect/>
                    </a:stretch>
                  </pic:blipFill>
                  <pic:spPr>
                    <a:xfrm>
                      <a:off x="0" y="0"/>
                      <a:ext cx="5840095" cy="3413760"/>
                    </a:xfrm>
                    <a:prstGeom prst="rect">
                      <a:avLst/>
                    </a:prstGeom>
                    <a:noFill/>
                    <a:ln>
                      <a:noFill/>
                    </a:ln>
                  </pic:spPr>
                </pic:pic>
              </a:graphicData>
            </a:graphic>
          </wp:inline>
        </w:drawing>
      </w:r>
    </w:p>
    <w:p>
      <w:pPr>
        <w:spacing w:line="240" w:lineRule="auto"/>
        <w:ind w:left="0" w:firstLine="422"/>
        <w:jc w:val="center"/>
        <w:rPr>
          <w:rFonts w:ascii="Times New Roman" w:eastAsia="宋体" w:hAnsi="Times New Roman"/>
          <w:b/>
          <w:bCs/>
          <w:color w:val="auto"/>
          <w:szCs w:val="21"/>
          <w:highlight w:val="none"/>
        </w:rPr>
      </w:pPr>
      <w:r>
        <w:rPr>
          <w:rFonts w:ascii="Times New Roman" w:eastAsia="宋体" w:hAnsi="Times New Roman" w:hint="eastAsia"/>
          <w:b/>
          <w:bCs/>
          <w:color w:val="auto"/>
          <w:szCs w:val="21"/>
          <w:highlight w:val="none"/>
        </w:rPr>
        <w:t>图4-2  规划期内5G用户数量预测</w:t>
      </w:r>
    </w:p>
    <w:p>
      <w:pPr>
        <w:spacing w:line="240" w:lineRule="auto"/>
        <w:ind w:left="0" w:firstLine="480"/>
        <w:rPr>
          <w:rFonts w:ascii="Times New Roman" w:eastAsia="宋体" w:hAnsi="Times New Roman"/>
          <w:color w:val="auto"/>
          <w:sz w:val="24"/>
          <w:szCs w:val="28"/>
          <w:highlight w:val="none"/>
        </w:rPr>
      </w:pPr>
      <w:r>
        <w:rPr>
          <w:rFonts w:ascii="Times New Roman" w:eastAsia="宋体" w:hAnsi="Times New Roman" w:hint="eastAsia"/>
          <w:color w:val="auto"/>
          <w:sz w:val="24"/>
          <w:szCs w:val="28"/>
          <w:highlight w:val="none"/>
        </w:rPr>
        <w:t>通过对标5G先发国家经验数据，参考4G初期广西4G用户较3G用户DOU（平均每户每月上网流量）增长情况，得出4G/ 5G用户DOU预测结果如下表所示：</w:t>
      </w:r>
    </w:p>
    <w:p>
      <w:pPr>
        <w:spacing w:line="240" w:lineRule="auto"/>
        <w:ind w:left="0" w:firstLine="422"/>
        <w:jc w:val="center"/>
        <w:rPr>
          <w:rFonts w:ascii="Times New Roman" w:eastAsia="宋体" w:hAnsi="Times New Roman"/>
          <w:b/>
          <w:bCs/>
          <w:color w:val="auto"/>
          <w:szCs w:val="21"/>
          <w:highlight w:val="none"/>
        </w:rPr>
      </w:pPr>
      <w:r>
        <w:rPr>
          <w:rFonts w:ascii="Times New Roman" w:eastAsia="宋体" w:hAnsi="Times New Roman" w:hint="eastAsia"/>
          <w:b/>
          <w:bCs/>
          <w:color w:val="auto"/>
          <w:szCs w:val="21"/>
          <w:highlight w:val="none"/>
        </w:rPr>
        <w:t>表4-</w:t>
      </w:r>
      <w:r>
        <w:rPr>
          <w:rFonts w:ascii="Times New Roman" w:eastAsia="宋体" w:hAnsi="Times New Roman" w:hint="eastAsia"/>
          <w:b/>
          <w:bCs/>
          <w:color w:val="auto"/>
          <w:szCs w:val="21"/>
          <w:highlight w:val="none"/>
          <w:lang w:val="en-US" w:eastAsia="zh-CN"/>
        </w:rPr>
        <w:t>4</w:t>
      </w:r>
      <w:r>
        <w:rPr>
          <w:rFonts w:ascii="Times New Roman" w:eastAsia="宋体" w:hAnsi="Times New Roman" w:hint="eastAsia"/>
          <w:b/>
          <w:bCs/>
          <w:color w:val="auto"/>
          <w:szCs w:val="21"/>
          <w:highlight w:val="none"/>
        </w:rPr>
        <w:t xml:space="preserve">  规划期内4G/ 5G用户DOU预测</w:t>
      </w:r>
    </w:p>
    <w:tbl>
      <w:tblPr>
        <w:tblStyle w:val="TableNormal"/>
        <w:tblW w:w="8400" w:type="dxa"/>
        <w:jc w:val="center"/>
        <w:tblCellMar>
          <w:top w:w="0" w:type="dxa"/>
          <w:left w:w="108" w:type="dxa"/>
          <w:bottom w:w="0" w:type="dxa"/>
          <w:right w:w="108" w:type="dxa"/>
        </w:tblCellMar>
      </w:tblPr>
      <w:tblGrid>
        <w:gridCol w:w="1680"/>
        <w:gridCol w:w="960"/>
        <w:gridCol w:w="960"/>
        <w:gridCol w:w="960"/>
        <w:gridCol w:w="960"/>
        <w:gridCol w:w="960"/>
        <w:gridCol w:w="960"/>
        <w:gridCol w:w="960"/>
      </w:tblGrid>
      <w:tr>
        <w:tblPrEx>
          <w:tblW w:w="8400" w:type="dxa"/>
          <w:jc w:val="center"/>
          <w:tblCellMar>
            <w:top w:w="0" w:type="dxa"/>
            <w:left w:w="108" w:type="dxa"/>
            <w:bottom w:w="0" w:type="dxa"/>
            <w:right w:w="108" w:type="dxa"/>
          </w:tblCellMar>
        </w:tblPrEx>
        <w:trPr>
          <w:trHeight w:val="295"/>
          <w:jc w:val="center"/>
        </w:trPr>
        <w:tc>
          <w:tcPr>
            <w:tcW w:w="1680" w:type="dxa"/>
            <w:tcBorders>
              <w:top w:val="single" w:sz="8" w:space="0" w:color="000000"/>
              <w:left w:val="single" w:sz="8" w:space="0" w:color="000000"/>
              <w:bottom w:val="single" w:sz="8" w:space="0" w:color="000000"/>
              <w:right w:val="single" w:sz="8" w:space="0" w:color="000000"/>
            </w:tcBorders>
            <w:shd w:val="clear" w:color="auto" w:fill="auto"/>
            <w:noWrap/>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b/>
                <w:bCs/>
                <w:color w:val="auto"/>
                <w:kern w:val="0"/>
                <w:szCs w:val="21"/>
                <w:highlight w:val="none"/>
              </w:rPr>
            </w:pPr>
            <w:r>
              <w:rPr>
                <w:rFonts w:ascii="宋体" w:eastAsia="宋体" w:hAnsi="宋体" w:cs="宋体" w:hint="eastAsia"/>
                <w:b/>
                <w:bCs/>
                <w:color w:val="auto"/>
                <w:kern w:val="0"/>
                <w:szCs w:val="21"/>
                <w:highlight w:val="none"/>
                <w:lang w:bidi="ar"/>
              </w:rPr>
              <w:t>DOU预测（GB）</w:t>
            </w:r>
          </w:p>
        </w:tc>
        <w:tc>
          <w:tcPr>
            <w:tcW w:w="960" w:type="dxa"/>
            <w:tcBorders>
              <w:top w:val="single" w:sz="8" w:space="0" w:color="000000"/>
              <w:left w:val="nil"/>
              <w:bottom w:val="single" w:sz="8" w:space="0" w:color="000000"/>
              <w:right w:val="single" w:sz="8" w:space="0" w:color="000000"/>
            </w:tcBorders>
            <w:shd w:val="clear" w:color="auto" w:fill="auto"/>
            <w:noWrap/>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b/>
                <w:bCs/>
                <w:color w:val="auto"/>
                <w:kern w:val="0"/>
                <w:szCs w:val="21"/>
                <w:highlight w:val="none"/>
              </w:rPr>
            </w:pPr>
          </w:p>
        </w:tc>
        <w:tc>
          <w:tcPr>
            <w:tcW w:w="960" w:type="dxa"/>
            <w:tcBorders>
              <w:top w:val="single" w:sz="8" w:space="0" w:color="000000"/>
              <w:left w:val="nil"/>
              <w:bottom w:val="single" w:sz="8" w:space="0" w:color="000000"/>
              <w:right w:val="single" w:sz="8" w:space="0" w:color="000000"/>
            </w:tcBorders>
            <w:shd w:val="clear" w:color="auto" w:fill="auto"/>
            <w:noWrap/>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b/>
                <w:bCs/>
                <w:color w:val="auto"/>
                <w:kern w:val="0"/>
                <w:szCs w:val="21"/>
                <w:highlight w:val="none"/>
              </w:rPr>
            </w:pPr>
            <w:r>
              <w:rPr>
                <w:rFonts w:ascii="宋体" w:eastAsia="宋体" w:hAnsi="宋体" w:cs="宋体" w:hint="eastAsia"/>
                <w:b/>
                <w:bCs/>
                <w:color w:val="auto"/>
                <w:kern w:val="0"/>
                <w:szCs w:val="21"/>
                <w:highlight w:val="none"/>
                <w:lang w:bidi="ar"/>
              </w:rPr>
              <w:t>2024年</w:t>
            </w:r>
          </w:p>
        </w:tc>
        <w:tc>
          <w:tcPr>
            <w:tcW w:w="960" w:type="dxa"/>
            <w:tcBorders>
              <w:top w:val="single" w:sz="8" w:space="0" w:color="000000"/>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b/>
                <w:bCs/>
                <w:color w:val="auto"/>
                <w:kern w:val="0"/>
                <w:szCs w:val="21"/>
                <w:highlight w:val="none"/>
              </w:rPr>
            </w:pPr>
            <w:r>
              <w:rPr>
                <w:rFonts w:ascii="宋体" w:eastAsia="宋体" w:hAnsi="宋体" w:cs="宋体" w:hint="eastAsia"/>
                <w:b/>
                <w:bCs/>
                <w:color w:val="auto"/>
                <w:kern w:val="0"/>
                <w:szCs w:val="21"/>
                <w:highlight w:val="none"/>
                <w:lang w:bidi="ar"/>
              </w:rPr>
              <w:t>2025年</w:t>
            </w:r>
          </w:p>
        </w:tc>
        <w:tc>
          <w:tcPr>
            <w:tcW w:w="960" w:type="dxa"/>
            <w:tcBorders>
              <w:top w:val="single" w:sz="8" w:space="0" w:color="000000"/>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b/>
                <w:bCs/>
                <w:color w:val="auto"/>
                <w:kern w:val="0"/>
                <w:szCs w:val="21"/>
                <w:highlight w:val="none"/>
              </w:rPr>
            </w:pPr>
            <w:r>
              <w:rPr>
                <w:rFonts w:ascii="宋体" w:eastAsia="宋体" w:hAnsi="宋体" w:cs="宋体" w:hint="eastAsia"/>
                <w:b/>
                <w:bCs/>
                <w:color w:val="auto"/>
                <w:kern w:val="0"/>
                <w:szCs w:val="21"/>
                <w:highlight w:val="none"/>
                <w:lang w:bidi="ar"/>
              </w:rPr>
              <w:t>2026年</w:t>
            </w:r>
          </w:p>
        </w:tc>
        <w:tc>
          <w:tcPr>
            <w:tcW w:w="960" w:type="dxa"/>
            <w:tcBorders>
              <w:top w:val="single" w:sz="8" w:space="0" w:color="000000"/>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b/>
                <w:bCs/>
                <w:color w:val="auto"/>
                <w:kern w:val="0"/>
                <w:szCs w:val="21"/>
                <w:highlight w:val="none"/>
              </w:rPr>
            </w:pPr>
            <w:r>
              <w:rPr>
                <w:rFonts w:ascii="宋体" w:eastAsia="宋体" w:hAnsi="宋体" w:cs="宋体" w:hint="eastAsia"/>
                <w:b/>
                <w:bCs/>
                <w:color w:val="auto"/>
                <w:kern w:val="0"/>
                <w:szCs w:val="21"/>
                <w:highlight w:val="none"/>
                <w:lang w:bidi="ar"/>
              </w:rPr>
              <w:t>2027年</w:t>
            </w:r>
          </w:p>
        </w:tc>
        <w:tc>
          <w:tcPr>
            <w:tcW w:w="960" w:type="dxa"/>
            <w:tcBorders>
              <w:top w:val="single" w:sz="8" w:space="0" w:color="000000"/>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b/>
                <w:bCs/>
                <w:color w:val="auto"/>
                <w:kern w:val="0"/>
                <w:szCs w:val="21"/>
                <w:highlight w:val="none"/>
              </w:rPr>
            </w:pPr>
            <w:r>
              <w:rPr>
                <w:rFonts w:ascii="宋体" w:eastAsia="宋体" w:hAnsi="宋体" w:cs="宋体" w:hint="eastAsia"/>
                <w:b/>
                <w:bCs/>
                <w:color w:val="auto"/>
                <w:kern w:val="0"/>
                <w:szCs w:val="21"/>
                <w:highlight w:val="none"/>
                <w:lang w:bidi="ar"/>
              </w:rPr>
              <w:t>2028年</w:t>
            </w:r>
          </w:p>
        </w:tc>
        <w:tc>
          <w:tcPr>
            <w:tcW w:w="960" w:type="dxa"/>
            <w:tcBorders>
              <w:top w:val="single" w:sz="8" w:space="0" w:color="000000"/>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b/>
                <w:bCs/>
                <w:color w:val="auto"/>
                <w:kern w:val="0"/>
                <w:szCs w:val="21"/>
                <w:highlight w:val="none"/>
              </w:rPr>
            </w:pPr>
            <w:r>
              <w:rPr>
                <w:rFonts w:ascii="宋体" w:eastAsia="宋体" w:hAnsi="宋体" w:cs="宋体" w:hint="eastAsia"/>
                <w:b/>
                <w:bCs/>
                <w:color w:val="auto"/>
                <w:kern w:val="0"/>
                <w:szCs w:val="21"/>
                <w:highlight w:val="none"/>
                <w:lang w:bidi="ar"/>
              </w:rPr>
              <w:t>2029年</w:t>
            </w:r>
          </w:p>
        </w:tc>
      </w:tr>
      <w:tr>
        <w:tblPrEx>
          <w:tblW w:w="8400" w:type="dxa"/>
          <w:jc w:val="center"/>
          <w:tblCellMar>
            <w:top w:w="0" w:type="dxa"/>
            <w:left w:w="108" w:type="dxa"/>
            <w:bottom w:w="0" w:type="dxa"/>
            <w:right w:w="108" w:type="dxa"/>
          </w:tblCellMar>
        </w:tblPrEx>
        <w:trPr>
          <w:trHeight w:val="295"/>
          <w:jc w:val="center"/>
        </w:trPr>
        <w:tc>
          <w:tcPr>
            <w:tcW w:w="1680" w:type="dxa"/>
            <w:tcBorders>
              <w:top w:val="nil"/>
              <w:left w:val="single" w:sz="8" w:space="0" w:color="000000"/>
              <w:bottom w:val="single" w:sz="8" w:space="0" w:color="000000"/>
              <w:right w:val="single" w:sz="8" w:space="0" w:color="000000"/>
            </w:tcBorders>
            <w:shd w:val="clear" w:color="auto" w:fill="auto"/>
            <w:noWrap/>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r>
              <w:rPr>
                <w:rFonts w:ascii="宋体" w:eastAsia="宋体" w:hAnsi="宋体" w:cs="宋体" w:hint="eastAsia"/>
                <w:color w:val="auto"/>
                <w:kern w:val="0"/>
                <w:szCs w:val="21"/>
                <w:highlight w:val="none"/>
                <w:lang w:bidi="ar"/>
              </w:rPr>
              <w:t>4G</w:t>
            </w:r>
          </w:p>
        </w:tc>
        <w:tc>
          <w:tcPr>
            <w:tcW w:w="960" w:type="dxa"/>
            <w:tcBorders>
              <w:top w:val="nil"/>
              <w:left w:val="nil"/>
              <w:bottom w:val="single" w:sz="8" w:space="0" w:color="000000"/>
              <w:right w:val="single" w:sz="8" w:space="0" w:color="000000"/>
            </w:tcBorders>
            <w:shd w:val="clear" w:color="auto" w:fill="auto"/>
            <w:noWrap/>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p>
        </w:tc>
        <w:tc>
          <w:tcPr>
            <w:tcW w:w="960" w:type="dxa"/>
            <w:tcBorders>
              <w:top w:val="nil"/>
              <w:left w:val="nil"/>
              <w:bottom w:val="single" w:sz="8" w:space="0" w:color="000000"/>
              <w:right w:val="single" w:sz="8" w:space="0" w:color="000000"/>
            </w:tcBorders>
            <w:shd w:val="clear" w:color="auto" w:fill="auto"/>
            <w:noWrap/>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r>
              <w:rPr>
                <w:rFonts w:ascii="宋体" w:eastAsia="宋体" w:hAnsi="宋体" w:cs="宋体" w:hint="eastAsia"/>
                <w:color w:val="auto"/>
                <w:kern w:val="0"/>
                <w:szCs w:val="21"/>
                <w:highlight w:val="none"/>
                <w:lang w:bidi="ar"/>
              </w:rPr>
              <w:t>6.8</w:t>
            </w:r>
          </w:p>
        </w:tc>
        <w:tc>
          <w:tcPr>
            <w:tcW w:w="960" w:type="dxa"/>
            <w:tcBorders>
              <w:top w:val="nil"/>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r>
              <w:rPr>
                <w:rFonts w:ascii="宋体" w:eastAsia="宋体" w:hAnsi="宋体" w:cs="宋体" w:hint="eastAsia"/>
                <w:color w:val="auto"/>
                <w:kern w:val="0"/>
                <w:szCs w:val="21"/>
                <w:highlight w:val="none"/>
                <w:lang w:bidi="ar"/>
              </w:rPr>
              <w:t>5</w:t>
            </w:r>
          </w:p>
        </w:tc>
        <w:tc>
          <w:tcPr>
            <w:tcW w:w="960" w:type="dxa"/>
            <w:tcBorders>
              <w:top w:val="nil"/>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r>
              <w:rPr>
                <w:rFonts w:ascii="宋体" w:eastAsia="宋体" w:hAnsi="宋体" w:cs="宋体" w:hint="eastAsia"/>
                <w:color w:val="auto"/>
                <w:kern w:val="0"/>
                <w:szCs w:val="21"/>
                <w:highlight w:val="none"/>
                <w:lang w:bidi="ar"/>
              </w:rPr>
              <w:t>4.5</w:t>
            </w:r>
          </w:p>
        </w:tc>
        <w:tc>
          <w:tcPr>
            <w:tcW w:w="960" w:type="dxa"/>
            <w:tcBorders>
              <w:top w:val="nil"/>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r>
              <w:rPr>
                <w:rFonts w:ascii="宋体" w:eastAsia="宋体" w:hAnsi="宋体" w:cs="宋体" w:hint="eastAsia"/>
                <w:color w:val="auto"/>
                <w:kern w:val="0"/>
                <w:szCs w:val="21"/>
                <w:highlight w:val="none"/>
                <w:lang w:bidi="ar"/>
              </w:rPr>
              <w:t>4</w:t>
            </w:r>
          </w:p>
        </w:tc>
        <w:tc>
          <w:tcPr>
            <w:tcW w:w="960" w:type="dxa"/>
            <w:tcBorders>
              <w:top w:val="nil"/>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r>
              <w:rPr>
                <w:rFonts w:ascii="宋体" w:eastAsia="宋体" w:hAnsi="宋体" w:cs="宋体" w:hint="eastAsia"/>
                <w:color w:val="auto"/>
                <w:kern w:val="0"/>
                <w:szCs w:val="21"/>
                <w:highlight w:val="none"/>
                <w:lang w:bidi="ar"/>
              </w:rPr>
              <w:t>3.8</w:t>
            </w:r>
          </w:p>
        </w:tc>
        <w:tc>
          <w:tcPr>
            <w:tcW w:w="960" w:type="dxa"/>
            <w:tcBorders>
              <w:top w:val="nil"/>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r>
              <w:rPr>
                <w:rFonts w:ascii="宋体" w:eastAsia="宋体" w:hAnsi="宋体" w:cs="宋体" w:hint="eastAsia"/>
                <w:color w:val="auto"/>
                <w:kern w:val="0"/>
                <w:szCs w:val="21"/>
                <w:highlight w:val="none"/>
                <w:lang w:bidi="ar"/>
              </w:rPr>
              <w:t>3.6</w:t>
            </w:r>
          </w:p>
        </w:tc>
      </w:tr>
      <w:tr>
        <w:tblPrEx>
          <w:tblW w:w="8400" w:type="dxa"/>
          <w:jc w:val="center"/>
          <w:tblCellMar>
            <w:top w:w="0" w:type="dxa"/>
            <w:left w:w="108" w:type="dxa"/>
            <w:bottom w:w="0" w:type="dxa"/>
            <w:right w:w="108" w:type="dxa"/>
          </w:tblCellMar>
        </w:tblPrEx>
        <w:trPr>
          <w:trHeight w:val="295"/>
          <w:jc w:val="center"/>
        </w:trPr>
        <w:tc>
          <w:tcPr>
            <w:tcW w:w="1680" w:type="dxa"/>
            <w:tcBorders>
              <w:top w:val="nil"/>
              <w:left w:val="single" w:sz="8" w:space="0" w:color="000000"/>
              <w:bottom w:val="single" w:sz="8" w:space="0" w:color="000000"/>
              <w:right w:val="single" w:sz="8" w:space="0" w:color="000000"/>
            </w:tcBorders>
            <w:shd w:val="clear" w:color="auto" w:fill="auto"/>
            <w:noWrap/>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r>
              <w:rPr>
                <w:rFonts w:ascii="宋体" w:eastAsia="宋体" w:hAnsi="宋体" w:cs="宋体" w:hint="eastAsia"/>
                <w:color w:val="auto"/>
                <w:kern w:val="0"/>
                <w:szCs w:val="21"/>
                <w:highlight w:val="none"/>
                <w:lang w:bidi="ar"/>
              </w:rPr>
              <w:t>5G</w:t>
            </w:r>
          </w:p>
        </w:tc>
        <w:tc>
          <w:tcPr>
            <w:tcW w:w="960" w:type="dxa"/>
            <w:tcBorders>
              <w:top w:val="nil"/>
              <w:left w:val="nil"/>
              <w:bottom w:val="single" w:sz="8" w:space="0" w:color="000000"/>
              <w:right w:val="single" w:sz="8" w:space="0" w:color="000000"/>
            </w:tcBorders>
            <w:shd w:val="clear" w:color="auto" w:fill="auto"/>
            <w:noWrap/>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p>
        </w:tc>
        <w:tc>
          <w:tcPr>
            <w:tcW w:w="960" w:type="dxa"/>
            <w:tcBorders>
              <w:top w:val="nil"/>
              <w:left w:val="nil"/>
              <w:bottom w:val="single" w:sz="8" w:space="0" w:color="000000"/>
              <w:right w:val="single" w:sz="8" w:space="0" w:color="000000"/>
            </w:tcBorders>
            <w:shd w:val="clear" w:color="auto" w:fill="auto"/>
            <w:noWrap/>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r>
              <w:rPr>
                <w:rFonts w:ascii="宋体" w:eastAsia="宋体" w:hAnsi="宋体" w:cs="宋体" w:hint="eastAsia"/>
                <w:color w:val="auto"/>
                <w:kern w:val="0"/>
                <w:szCs w:val="21"/>
                <w:highlight w:val="none"/>
                <w:lang w:bidi="ar"/>
              </w:rPr>
              <w:t>68</w:t>
            </w:r>
          </w:p>
        </w:tc>
        <w:tc>
          <w:tcPr>
            <w:tcW w:w="960" w:type="dxa"/>
            <w:tcBorders>
              <w:top w:val="nil"/>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r>
              <w:rPr>
                <w:rFonts w:ascii="宋体" w:eastAsia="宋体" w:hAnsi="宋体" w:cs="宋体" w:hint="eastAsia"/>
                <w:color w:val="auto"/>
                <w:kern w:val="0"/>
                <w:szCs w:val="21"/>
                <w:highlight w:val="none"/>
                <w:lang w:bidi="ar"/>
              </w:rPr>
              <w:t>86</w:t>
            </w:r>
          </w:p>
        </w:tc>
        <w:tc>
          <w:tcPr>
            <w:tcW w:w="960" w:type="dxa"/>
            <w:tcBorders>
              <w:top w:val="nil"/>
              <w:left w:val="nil"/>
              <w:bottom w:val="single" w:sz="8" w:space="0" w:color="000000"/>
              <w:right w:val="single" w:sz="8" w:space="0" w:color="000000"/>
            </w:tcBorders>
            <w:shd w:val="clear" w:color="auto" w:fill="auto"/>
            <w:noWrap/>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r>
              <w:rPr>
                <w:rFonts w:ascii="宋体" w:eastAsia="宋体" w:hAnsi="宋体" w:cs="宋体" w:hint="eastAsia"/>
                <w:color w:val="auto"/>
                <w:kern w:val="0"/>
                <w:szCs w:val="21"/>
                <w:highlight w:val="none"/>
                <w:lang w:bidi="ar"/>
              </w:rPr>
              <w:t>104</w:t>
            </w:r>
          </w:p>
        </w:tc>
        <w:tc>
          <w:tcPr>
            <w:tcW w:w="960" w:type="dxa"/>
            <w:tcBorders>
              <w:top w:val="nil"/>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r>
              <w:rPr>
                <w:rFonts w:ascii="宋体" w:eastAsia="宋体" w:hAnsi="宋体" w:cs="宋体" w:hint="eastAsia"/>
                <w:color w:val="auto"/>
                <w:kern w:val="0"/>
                <w:szCs w:val="21"/>
                <w:highlight w:val="none"/>
                <w:lang w:bidi="ar"/>
              </w:rPr>
              <w:t>122</w:t>
            </w:r>
          </w:p>
        </w:tc>
        <w:tc>
          <w:tcPr>
            <w:tcW w:w="960" w:type="dxa"/>
            <w:tcBorders>
              <w:top w:val="nil"/>
              <w:left w:val="nil"/>
              <w:bottom w:val="single" w:sz="8" w:space="0" w:color="000000"/>
              <w:right w:val="single" w:sz="8" w:space="0" w:color="000000"/>
            </w:tcBorders>
            <w:shd w:val="clear" w:color="auto" w:fill="auto"/>
            <w:noWrap/>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r>
              <w:rPr>
                <w:rFonts w:ascii="宋体" w:eastAsia="宋体" w:hAnsi="宋体" w:cs="宋体" w:hint="eastAsia"/>
                <w:color w:val="auto"/>
                <w:kern w:val="0"/>
                <w:szCs w:val="21"/>
                <w:highlight w:val="none"/>
                <w:lang w:bidi="ar"/>
              </w:rPr>
              <w:t>140</w:t>
            </w:r>
          </w:p>
        </w:tc>
        <w:tc>
          <w:tcPr>
            <w:tcW w:w="960" w:type="dxa"/>
            <w:tcBorders>
              <w:top w:val="nil"/>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r>
              <w:rPr>
                <w:rFonts w:ascii="宋体" w:eastAsia="宋体" w:hAnsi="宋体" w:cs="宋体" w:hint="eastAsia"/>
                <w:color w:val="auto"/>
                <w:kern w:val="0"/>
                <w:szCs w:val="21"/>
                <w:highlight w:val="none"/>
                <w:lang w:bidi="ar"/>
              </w:rPr>
              <w:t>158</w:t>
            </w:r>
          </w:p>
        </w:tc>
      </w:tr>
      <w:tr>
        <w:tblPrEx>
          <w:tblW w:w="8400" w:type="dxa"/>
          <w:jc w:val="center"/>
          <w:tblCellMar>
            <w:top w:w="0" w:type="dxa"/>
            <w:left w:w="108" w:type="dxa"/>
            <w:bottom w:w="0" w:type="dxa"/>
            <w:right w:w="108" w:type="dxa"/>
          </w:tblCellMar>
        </w:tblPrEx>
        <w:trPr>
          <w:trHeight w:val="295"/>
          <w:jc w:val="center"/>
        </w:trPr>
        <w:tc>
          <w:tcPr>
            <w:tcW w:w="1680" w:type="dxa"/>
            <w:tcBorders>
              <w:top w:val="single" w:sz="8" w:space="0" w:color="000000"/>
              <w:left w:val="single" w:sz="8" w:space="0" w:color="000000"/>
              <w:bottom w:val="single" w:sz="8" w:space="0" w:color="000000"/>
              <w:right w:val="single" w:sz="8" w:space="0" w:color="000000"/>
            </w:tcBorders>
            <w:shd w:val="clear" w:color="auto" w:fill="auto"/>
            <w:noWrap/>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b/>
                <w:bCs/>
                <w:color w:val="auto"/>
                <w:kern w:val="0"/>
                <w:szCs w:val="21"/>
                <w:highlight w:val="none"/>
              </w:rPr>
            </w:pPr>
            <w:r>
              <w:rPr>
                <w:rFonts w:ascii="宋体" w:eastAsia="宋体" w:hAnsi="宋体" w:cs="宋体" w:hint="eastAsia"/>
                <w:b/>
                <w:bCs/>
                <w:color w:val="auto"/>
                <w:kern w:val="0"/>
                <w:szCs w:val="21"/>
                <w:highlight w:val="none"/>
                <w:lang w:bidi="ar"/>
              </w:rPr>
              <w:t>DOU预测（GB）</w:t>
            </w:r>
          </w:p>
        </w:tc>
        <w:tc>
          <w:tcPr>
            <w:tcW w:w="960" w:type="dxa"/>
            <w:tcBorders>
              <w:top w:val="single" w:sz="8" w:space="0" w:color="000000"/>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b/>
                <w:bCs/>
                <w:color w:val="auto"/>
                <w:kern w:val="0"/>
                <w:szCs w:val="21"/>
                <w:highlight w:val="none"/>
              </w:rPr>
            </w:pPr>
            <w:r>
              <w:rPr>
                <w:rFonts w:ascii="宋体" w:eastAsia="宋体" w:hAnsi="宋体" w:cs="宋体" w:hint="eastAsia"/>
                <w:b/>
                <w:bCs/>
                <w:color w:val="auto"/>
                <w:kern w:val="0"/>
                <w:szCs w:val="21"/>
                <w:highlight w:val="none"/>
                <w:lang w:bidi="ar"/>
              </w:rPr>
              <w:t>2030年</w:t>
            </w:r>
          </w:p>
        </w:tc>
        <w:tc>
          <w:tcPr>
            <w:tcW w:w="960" w:type="dxa"/>
            <w:tcBorders>
              <w:top w:val="single" w:sz="8" w:space="0" w:color="000000"/>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b/>
                <w:bCs/>
                <w:color w:val="auto"/>
                <w:kern w:val="0"/>
                <w:szCs w:val="21"/>
                <w:highlight w:val="none"/>
              </w:rPr>
            </w:pPr>
            <w:r>
              <w:rPr>
                <w:rFonts w:ascii="宋体" w:eastAsia="宋体" w:hAnsi="宋体" w:cs="宋体" w:hint="eastAsia"/>
                <w:b/>
                <w:bCs/>
                <w:color w:val="auto"/>
                <w:kern w:val="0"/>
                <w:szCs w:val="21"/>
                <w:highlight w:val="none"/>
                <w:lang w:bidi="ar"/>
              </w:rPr>
              <w:t>2031年</w:t>
            </w:r>
          </w:p>
        </w:tc>
        <w:tc>
          <w:tcPr>
            <w:tcW w:w="960" w:type="dxa"/>
            <w:tcBorders>
              <w:top w:val="single" w:sz="8" w:space="0" w:color="000000"/>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b/>
                <w:bCs/>
                <w:color w:val="auto"/>
                <w:kern w:val="0"/>
                <w:szCs w:val="21"/>
                <w:highlight w:val="none"/>
              </w:rPr>
            </w:pPr>
            <w:r>
              <w:rPr>
                <w:rFonts w:ascii="宋体" w:eastAsia="宋体" w:hAnsi="宋体" w:cs="宋体" w:hint="eastAsia"/>
                <w:b/>
                <w:bCs/>
                <w:color w:val="auto"/>
                <w:kern w:val="0"/>
                <w:szCs w:val="21"/>
                <w:highlight w:val="none"/>
                <w:lang w:bidi="ar"/>
              </w:rPr>
              <w:t>2032年</w:t>
            </w:r>
          </w:p>
        </w:tc>
        <w:tc>
          <w:tcPr>
            <w:tcW w:w="960" w:type="dxa"/>
            <w:tcBorders>
              <w:top w:val="single" w:sz="8" w:space="0" w:color="000000"/>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b/>
                <w:bCs/>
                <w:color w:val="auto"/>
                <w:kern w:val="0"/>
                <w:szCs w:val="21"/>
                <w:highlight w:val="none"/>
              </w:rPr>
            </w:pPr>
            <w:r>
              <w:rPr>
                <w:rFonts w:ascii="宋体" w:eastAsia="宋体" w:hAnsi="宋体" w:cs="宋体" w:hint="eastAsia"/>
                <w:b/>
                <w:bCs/>
                <w:color w:val="auto"/>
                <w:kern w:val="0"/>
                <w:szCs w:val="21"/>
                <w:highlight w:val="none"/>
                <w:lang w:bidi="ar"/>
              </w:rPr>
              <w:t>2033年</w:t>
            </w:r>
          </w:p>
        </w:tc>
        <w:tc>
          <w:tcPr>
            <w:tcW w:w="960" w:type="dxa"/>
            <w:tcBorders>
              <w:top w:val="single" w:sz="8" w:space="0" w:color="000000"/>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b/>
                <w:bCs/>
                <w:color w:val="auto"/>
                <w:kern w:val="0"/>
                <w:szCs w:val="21"/>
                <w:highlight w:val="none"/>
              </w:rPr>
            </w:pPr>
            <w:r>
              <w:rPr>
                <w:rFonts w:ascii="宋体" w:eastAsia="宋体" w:hAnsi="宋体" w:cs="宋体" w:hint="eastAsia"/>
                <w:b/>
                <w:bCs/>
                <w:color w:val="auto"/>
                <w:kern w:val="0"/>
                <w:szCs w:val="21"/>
                <w:highlight w:val="none"/>
                <w:lang w:bidi="ar"/>
              </w:rPr>
              <w:t>2034年</w:t>
            </w:r>
          </w:p>
        </w:tc>
        <w:tc>
          <w:tcPr>
            <w:tcW w:w="960" w:type="dxa"/>
            <w:tcBorders>
              <w:top w:val="single" w:sz="8" w:space="0" w:color="000000"/>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b/>
                <w:bCs/>
                <w:color w:val="auto"/>
                <w:kern w:val="0"/>
                <w:szCs w:val="21"/>
                <w:highlight w:val="none"/>
              </w:rPr>
            </w:pPr>
            <w:r>
              <w:rPr>
                <w:rFonts w:ascii="宋体" w:eastAsia="宋体" w:hAnsi="宋体" w:cs="宋体" w:hint="eastAsia"/>
                <w:b/>
                <w:bCs/>
                <w:color w:val="auto"/>
                <w:kern w:val="0"/>
                <w:szCs w:val="21"/>
                <w:highlight w:val="none"/>
                <w:lang w:bidi="ar"/>
              </w:rPr>
              <w:t>2035年</w:t>
            </w:r>
          </w:p>
        </w:tc>
        <w:tc>
          <w:tcPr>
            <w:tcW w:w="960" w:type="dxa"/>
            <w:tcBorders>
              <w:top w:val="single" w:sz="8" w:space="0" w:color="000000"/>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b/>
                <w:bCs/>
                <w:color w:val="auto"/>
                <w:kern w:val="0"/>
                <w:szCs w:val="21"/>
                <w:highlight w:val="none"/>
              </w:rPr>
            </w:pPr>
          </w:p>
        </w:tc>
      </w:tr>
      <w:tr>
        <w:tblPrEx>
          <w:tblW w:w="8400" w:type="dxa"/>
          <w:jc w:val="center"/>
          <w:tblCellMar>
            <w:top w:w="0" w:type="dxa"/>
            <w:left w:w="108" w:type="dxa"/>
            <w:bottom w:w="0" w:type="dxa"/>
            <w:right w:w="108" w:type="dxa"/>
          </w:tblCellMar>
        </w:tblPrEx>
        <w:trPr>
          <w:trHeight w:val="295"/>
          <w:jc w:val="center"/>
        </w:trPr>
        <w:tc>
          <w:tcPr>
            <w:tcW w:w="1680" w:type="dxa"/>
            <w:tcBorders>
              <w:top w:val="nil"/>
              <w:left w:val="single" w:sz="8" w:space="0" w:color="000000"/>
              <w:bottom w:val="single" w:sz="8" w:space="0" w:color="000000"/>
              <w:right w:val="single" w:sz="8" w:space="0" w:color="000000"/>
            </w:tcBorders>
            <w:shd w:val="clear" w:color="auto" w:fill="auto"/>
            <w:noWrap/>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r>
              <w:rPr>
                <w:rFonts w:ascii="宋体" w:eastAsia="宋体" w:hAnsi="宋体" w:cs="宋体" w:hint="eastAsia"/>
                <w:color w:val="auto"/>
                <w:kern w:val="0"/>
                <w:szCs w:val="21"/>
                <w:highlight w:val="none"/>
                <w:lang w:bidi="ar"/>
              </w:rPr>
              <w:t>4G</w:t>
            </w:r>
          </w:p>
        </w:tc>
        <w:tc>
          <w:tcPr>
            <w:tcW w:w="960" w:type="dxa"/>
            <w:tcBorders>
              <w:top w:val="nil"/>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r>
              <w:rPr>
                <w:rFonts w:ascii="宋体" w:eastAsia="宋体" w:hAnsi="宋体" w:cs="宋体" w:hint="eastAsia"/>
                <w:color w:val="auto"/>
                <w:kern w:val="0"/>
                <w:szCs w:val="21"/>
                <w:highlight w:val="none"/>
                <w:lang w:bidi="ar"/>
              </w:rPr>
              <w:t>3.3</w:t>
            </w:r>
          </w:p>
        </w:tc>
        <w:tc>
          <w:tcPr>
            <w:tcW w:w="960" w:type="dxa"/>
            <w:tcBorders>
              <w:top w:val="nil"/>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r>
              <w:rPr>
                <w:rFonts w:ascii="宋体" w:eastAsia="宋体" w:hAnsi="宋体" w:cs="宋体" w:hint="eastAsia"/>
                <w:color w:val="auto"/>
                <w:kern w:val="0"/>
                <w:szCs w:val="21"/>
                <w:highlight w:val="none"/>
                <w:lang w:bidi="ar"/>
              </w:rPr>
              <w:t>3.1</w:t>
            </w:r>
          </w:p>
        </w:tc>
        <w:tc>
          <w:tcPr>
            <w:tcW w:w="960" w:type="dxa"/>
            <w:tcBorders>
              <w:top w:val="nil"/>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r>
              <w:rPr>
                <w:rFonts w:ascii="宋体" w:eastAsia="宋体" w:hAnsi="宋体" w:cs="宋体" w:hint="eastAsia"/>
                <w:color w:val="auto"/>
                <w:kern w:val="0"/>
                <w:szCs w:val="21"/>
                <w:highlight w:val="none"/>
                <w:lang w:bidi="ar"/>
              </w:rPr>
              <w:t>2.8</w:t>
            </w:r>
          </w:p>
        </w:tc>
        <w:tc>
          <w:tcPr>
            <w:tcW w:w="960" w:type="dxa"/>
            <w:tcBorders>
              <w:top w:val="nil"/>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r>
              <w:rPr>
                <w:rFonts w:ascii="宋体" w:eastAsia="宋体" w:hAnsi="宋体" w:cs="宋体" w:hint="eastAsia"/>
                <w:color w:val="auto"/>
                <w:kern w:val="0"/>
                <w:szCs w:val="21"/>
                <w:highlight w:val="none"/>
                <w:lang w:bidi="ar"/>
              </w:rPr>
              <w:t>2.5</w:t>
            </w:r>
          </w:p>
        </w:tc>
        <w:tc>
          <w:tcPr>
            <w:tcW w:w="960" w:type="dxa"/>
            <w:tcBorders>
              <w:top w:val="nil"/>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r>
              <w:rPr>
                <w:rFonts w:ascii="宋体" w:eastAsia="宋体" w:hAnsi="宋体" w:cs="宋体" w:hint="eastAsia"/>
                <w:color w:val="auto"/>
                <w:kern w:val="0"/>
                <w:szCs w:val="21"/>
                <w:highlight w:val="none"/>
                <w:lang w:bidi="ar"/>
              </w:rPr>
              <w:t>2.3</w:t>
            </w:r>
          </w:p>
        </w:tc>
        <w:tc>
          <w:tcPr>
            <w:tcW w:w="960" w:type="dxa"/>
            <w:tcBorders>
              <w:top w:val="nil"/>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r>
              <w:rPr>
                <w:rFonts w:ascii="宋体" w:eastAsia="宋体" w:hAnsi="宋体" w:cs="宋体" w:hint="eastAsia"/>
                <w:color w:val="auto"/>
                <w:kern w:val="0"/>
                <w:szCs w:val="21"/>
                <w:highlight w:val="none"/>
                <w:lang w:bidi="ar"/>
              </w:rPr>
              <w:t>2</w:t>
            </w:r>
          </w:p>
        </w:tc>
        <w:tc>
          <w:tcPr>
            <w:tcW w:w="960" w:type="dxa"/>
            <w:tcBorders>
              <w:top w:val="nil"/>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p>
        </w:tc>
      </w:tr>
      <w:tr>
        <w:tblPrEx>
          <w:tblW w:w="8400" w:type="dxa"/>
          <w:jc w:val="center"/>
          <w:tblCellMar>
            <w:top w:w="0" w:type="dxa"/>
            <w:left w:w="108" w:type="dxa"/>
            <w:bottom w:w="0" w:type="dxa"/>
            <w:right w:w="108" w:type="dxa"/>
          </w:tblCellMar>
        </w:tblPrEx>
        <w:trPr>
          <w:trHeight w:val="295"/>
          <w:jc w:val="center"/>
        </w:trPr>
        <w:tc>
          <w:tcPr>
            <w:tcW w:w="1680" w:type="dxa"/>
            <w:tcBorders>
              <w:top w:val="nil"/>
              <w:left w:val="single" w:sz="8" w:space="0" w:color="000000"/>
              <w:bottom w:val="single" w:sz="8" w:space="0" w:color="000000"/>
              <w:right w:val="single" w:sz="8" w:space="0" w:color="000000"/>
            </w:tcBorders>
            <w:shd w:val="clear" w:color="auto" w:fill="auto"/>
            <w:noWrap/>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r>
              <w:rPr>
                <w:rFonts w:ascii="宋体" w:eastAsia="宋体" w:hAnsi="宋体" w:cs="宋体" w:hint="eastAsia"/>
                <w:color w:val="auto"/>
                <w:kern w:val="0"/>
                <w:szCs w:val="21"/>
                <w:highlight w:val="none"/>
                <w:lang w:bidi="ar"/>
              </w:rPr>
              <w:t>5G</w:t>
            </w:r>
          </w:p>
        </w:tc>
        <w:tc>
          <w:tcPr>
            <w:tcW w:w="960" w:type="dxa"/>
            <w:tcBorders>
              <w:top w:val="nil"/>
              <w:left w:val="nil"/>
              <w:bottom w:val="single" w:sz="8" w:space="0" w:color="000000"/>
              <w:right w:val="single" w:sz="8" w:space="0" w:color="000000"/>
            </w:tcBorders>
            <w:shd w:val="clear" w:color="auto" w:fill="auto"/>
            <w:noWrap/>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r>
              <w:rPr>
                <w:rFonts w:ascii="宋体" w:eastAsia="宋体" w:hAnsi="宋体" w:cs="宋体" w:hint="eastAsia"/>
                <w:color w:val="auto"/>
                <w:kern w:val="0"/>
                <w:szCs w:val="21"/>
                <w:highlight w:val="none"/>
                <w:lang w:bidi="ar"/>
              </w:rPr>
              <w:t>176</w:t>
            </w:r>
          </w:p>
        </w:tc>
        <w:tc>
          <w:tcPr>
            <w:tcW w:w="960" w:type="dxa"/>
            <w:tcBorders>
              <w:top w:val="nil"/>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r>
              <w:rPr>
                <w:rFonts w:ascii="宋体" w:eastAsia="宋体" w:hAnsi="宋体" w:cs="宋体" w:hint="eastAsia"/>
                <w:color w:val="auto"/>
                <w:kern w:val="0"/>
                <w:szCs w:val="21"/>
                <w:highlight w:val="none"/>
                <w:lang w:bidi="ar"/>
              </w:rPr>
              <w:t>194</w:t>
            </w:r>
          </w:p>
        </w:tc>
        <w:tc>
          <w:tcPr>
            <w:tcW w:w="960" w:type="dxa"/>
            <w:tcBorders>
              <w:top w:val="nil"/>
              <w:left w:val="nil"/>
              <w:bottom w:val="single" w:sz="8" w:space="0" w:color="000000"/>
              <w:right w:val="single" w:sz="8" w:space="0" w:color="000000"/>
            </w:tcBorders>
            <w:shd w:val="clear" w:color="auto" w:fill="auto"/>
            <w:noWrap/>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r>
              <w:rPr>
                <w:rFonts w:ascii="宋体" w:eastAsia="宋体" w:hAnsi="宋体" w:cs="宋体" w:hint="eastAsia"/>
                <w:color w:val="auto"/>
                <w:kern w:val="0"/>
                <w:szCs w:val="21"/>
                <w:highlight w:val="none"/>
                <w:lang w:bidi="ar"/>
              </w:rPr>
              <w:t>212</w:t>
            </w:r>
          </w:p>
        </w:tc>
        <w:tc>
          <w:tcPr>
            <w:tcW w:w="960" w:type="dxa"/>
            <w:tcBorders>
              <w:top w:val="nil"/>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r>
              <w:rPr>
                <w:rFonts w:ascii="宋体" w:eastAsia="宋体" w:hAnsi="宋体" w:cs="宋体" w:hint="eastAsia"/>
                <w:color w:val="auto"/>
                <w:kern w:val="0"/>
                <w:szCs w:val="21"/>
                <w:highlight w:val="none"/>
                <w:lang w:bidi="ar"/>
              </w:rPr>
              <w:t>230</w:t>
            </w:r>
          </w:p>
        </w:tc>
        <w:tc>
          <w:tcPr>
            <w:tcW w:w="960" w:type="dxa"/>
            <w:tcBorders>
              <w:top w:val="nil"/>
              <w:left w:val="nil"/>
              <w:bottom w:val="single" w:sz="8" w:space="0" w:color="000000"/>
              <w:right w:val="single" w:sz="8" w:space="0" w:color="000000"/>
            </w:tcBorders>
            <w:shd w:val="clear" w:color="auto" w:fill="auto"/>
            <w:noWrap/>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r>
              <w:rPr>
                <w:rFonts w:ascii="宋体" w:eastAsia="宋体" w:hAnsi="宋体" w:cs="宋体" w:hint="eastAsia"/>
                <w:color w:val="auto"/>
                <w:kern w:val="0"/>
                <w:szCs w:val="21"/>
                <w:highlight w:val="none"/>
                <w:lang w:bidi="ar"/>
              </w:rPr>
              <w:t>248</w:t>
            </w:r>
          </w:p>
        </w:tc>
        <w:tc>
          <w:tcPr>
            <w:tcW w:w="960" w:type="dxa"/>
            <w:tcBorders>
              <w:top w:val="nil"/>
              <w:left w:val="nil"/>
              <w:bottom w:val="single" w:sz="8" w:space="0" w:color="000000"/>
              <w:right w:val="single" w:sz="8" w:space="0" w:color="000000"/>
            </w:tcBorders>
            <w:shd w:val="clear" w:color="auto" w:fill="auto"/>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r>
              <w:rPr>
                <w:rFonts w:ascii="宋体" w:eastAsia="宋体" w:hAnsi="宋体" w:cs="宋体" w:hint="eastAsia"/>
                <w:color w:val="auto"/>
                <w:kern w:val="0"/>
                <w:szCs w:val="21"/>
                <w:highlight w:val="none"/>
                <w:lang w:bidi="ar"/>
              </w:rPr>
              <w:t>266</w:t>
            </w:r>
          </w:p>
        </w:tc>
        <w:tc>
          <w:tcPr>
            <w:tcW w:w="960" w:type="dxa"/>
            <w:tcBorders>
              <w:top w:val="nil"/>
              <w:left w:val="nil"/>
              <w:bottom w:val="single" w:sz="8" w:space="0" w:color="000000"/>
              <w:right w:val="single" w:sz="8" w:space="0" w:color="000000"/>
            </w:tcBorders>
            <w:shd w:val="clear" w:color="auto" w:fill="auto"/>
            <w:noWrap/>
            <w:vAlign w:val="bottom"/>
          </w:tcPr>
          <w:p>
            <w:pPr>
              <w:keepNext w:val="0"/>
              <w:keepLines w:val="0"/>
              <w:widowControl/>
              <w:suppressLineNumbers w:val="0"/>
              <w:spacing w:before="0" w:beforeAutospacing="0" w:after="0" w:afterAutospacing="0" w:line="240" w:lineRule="auto"/>
              <w:ind w:left="0" w:right="0" w:firstLine="0" w:leftChars="0" w:rightChars="0" w:firstLineChars="0"/>
              <w:jc w:val="center"/>
              <w:rPr>
                <w:rFonts w:ascii="宋体" w:eastAsia="宋体" w:hAnsi="宋体" w:cs="宋体"/>
                <w:color w:val="auto"/>
                <w:kern w:val="0"/>
                <w:szCs w:val="21"/>
                <w:highlight w:val="none"/>
              </w:rPr>
            </w:pPr>
          </w:p>
        </w:tc>
      </w:tr>
    </w:tbl>
    <w:p>
      <w:pPr>
        <w:widowControl/>
        <w:spacing w:line="240" w:lineRule="auto"/>
        <w:ind w:left="0" w:firstLine="0" w:firstLineChars="0"/>
        <w:jc w:val="center"/>
        <w:rPr>
          <w:rFonts w:ascii="Times New Roman" w:eastAsia="宋体" w:hAnsi="Times New Roman"/>
          <w:color w:val="auto"/>
          <w:szCs w:val="21"/>
          <w:highlight w:val="none"/>
        </w:rPr>
      </w:pPr>
    </w:p>
    <w:p>
      <w:pPr>
        <w:widowControl/>
        <w:spacing w:line="240" w:lineRule="auto"/>
        <w:ind w:left="0" w:firstLine="0" w:firstLineChars="0"/>
        <w:jc w:val="center"/>
        <w:rPr>
          <w:rFonts w:ascii="Times New Roman" w:eastAsia="宋体" w:hAnsi="Times New Roman"/>
          <w:color w:val="auto"/>
          <w:szCs w:val="21"/>
          <w:highlight w:val="none"/>
        </w:rPr>
      </w:pPr>
    </w:p>
    <w:p>
      <w:pPr>
        <w:widowControl/>
        <w:spacing w:line="240" w:lineRule="auto"/>
        <w:ind w:left="0" w:firstLine="0" w:firstLineChars="0"/>
        <w:jc w:val="center"/>
        <w:rPr>
          <w:rFonts w:ascii="Times New Roman" w:eastAsia="宋体" w:hAnsi="Times New Roman"/>
          <w:color w:val="auto"/>
          <w:szCs w:val="21"/>
          <w:highlight w:val="none"/>
        </w:rPr>
      </w:pPr>
      <w:bookmarkStart w:id="20" w:name="_Toc47975704"/>
      <w:bookmarkStart w:id="21" w:name="_Toc47774982"/>
      <w:r>
        <w:rPr>
          <w:color w:val="auto"/>
          <w:highlight w:val="none"/>
        </w:rPr>
        <w:drawing>
          <wp:inline distT="0" distB="0" distL="114300" distR="114300">
            <wp:extent cx="6042660" cy="2755265"/>
            <wp:effectExtent l="0" t="0" r="2540" b="635"/>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xmlns:r="http://schemas.openxmlformats.org/officeDocument/2006/relationships" r:embed="rId17"/>
                    <a:stretch>
                      <a:fillRect/>
                    </a:stretch>
                  </pic:blipFill>
                  <pic:spPr>
                    <a:xfrm>
                      <a:off x="0" y="0"/>
                      <a:ext cx="6042660" cy="2755265"/>
                    </a:xfrm>
                    <a:prstGeom prst="rect">
                      <a:avLst/>
                    </a:prstGeom>
                    <a:noFill/>
                    <a:ln>
                      <a:noFill/>
                    </a:ln>
                  </pic:spPr>
                </pic:pic>
              </a:graphicData>
            </a:graphic>
          </wp:inline>
        </w:drawing>
      </w:r>
    </w:p>
    <w:p>
      <w:pPr>
        <w:spacing w:line="240" w:lineRule="auto"/>
        <w:ind w:left="0" w:firstLine="422"/>
        <w:jc w:val="center"/>
        <w:rPr>
          <w:rFonts w:ascii="Times New Roman" w:eastAsia="宋体" w:hAnsi="Times New Roman"/>
          <w:b/>
          <w:bCs/>
          <w:color w:val="auto"/>
          <w:szCs w:val="21"/>
          <w:highlight w:val="none"/>
        </w:rPr>
      </w:pPr>
      <w:r>
        <w:rPr>
          <w:rFonts w:ascii="Times New Roman" w:eastAsia="宋体" w:hAnsi="Times New Roman" w:hint="eastAsia"/>
          <w:b/>
          <w:bCs/>
          <w:color w:val="auto"/>
          <w:szCs w:val="21"/>
          <w:highlight w:val="none"/>
        </w:rPr>
        <w:t>图4-3  规划期4G/ 5G用户DOU预测</w:t>
      </w:r>
    </w:p>
    <w:p>
      <w:pPr>
        <w:spacing w:line="240" w:lineRule="auto"/>
        <w:ind w:left="0" w:firstLine="480"/>
        <w:rPr>
          <w:rFonts w:ascii="Times New Roman" w:eastAsia="宋体" w:hAnsi="Times New Roman"/>
          <w:color w:val="auto"/>
          <w:sz w:val="24"/>
          <w:szCs w:val="28"/>
          <w:highlight w:val="none"/>
        </w:rPr>
      </w:pPr>
      <w:r>
        <w:rPr>
          <w:rFonts w:ascii="Times New Roman" w:eastAsia="宋体" w:hAnsi="Times New Roman" w:hint="eastAsia"/>
          <w:color w:val="auto"/>
          <w:sz w:val="24"/>
          <w:szCs w:val="28"/>
          <w:highlight w:val="none"/>
        </w:rPr>
        <w:t>2、5G行业发展预测</w:t>
      </w:r>
      <w:bookmarkEnd w:id="20"/>
      <w:bookmarkEnd w:id="21"/>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2020年，垂直行业应用以视频需求为主，包括高清视频、视频直播、视频监控、远程控制、远程会诊、远程教学、专网专线等应用。</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2021-2022年，各类行业应用开始规模发展，包括云R/AR，无人机巡检，服务类机器人，智能电网，智慧矿山、智慧港口、应急救援及智能医疗部分应用，无人驾驶开始在特殊场景下开始应用。</w:t>
      </w:r>
    </w:p>
    <w:p>
      <w:pPr>
        <w:spacing w:line="240" w:lineRule="auto"/>
        <w:ind w:left="0" w:firstLine="480"/>
        <w:rPr>
          <w:rFonts w:ascii="Times New Roman" w:eastAsia="宋体" w:hAnsi="Times New Roman" w:hint="eastAsia"/>
          <w:color w:val="auto"/>
          <w:sz w:val="24"/>
          <w:szCs w:val="24"/>
          <w:highlight w:val="none"/>
        </w:rPr>
      </w:pPr>
      <w:r>
        <w:rPr>
          <w:rFonts w:ascii="Times New Roman" w:eastAsia="宋体" w:hAnsi="Times New Roman" w:hint="eastAsia"/>
          <w:color w:val="auto"/>
          <w:sz w:val="24"/>
          <w:szCs w:val="24"/>
          <w:highlight w:val="none"/>
        </w:rPr>
        <w:t>2023年及以后，随着 uRLLC、切片技术逐步成熟，智能制造快速发展，专网类行业应用发展起步，包括远程手术、智能制造、无人驾驶等。</w:t>
      </w:r>
    </w:p>
    <w:p>
      <w:pPr>
        <w:pStyle w:val="NormalIndent"/>
        <w:rPr>
          <w:color w:val="auto"/>
          <w:highlight w:val="none"/>
        </w:rPr>
      </w:pPr>
    </w:p>
    <w:p>
      <w:pPr>
        <w:widowControl/>
        <w:spacing w:line="240" w:lineRule="auto"/>
        <w:ind w:left="0" w:firstLine="0" w:firstLineChars="0"/>
        <w:jc w:val="center"/>
        <w:rPr>
          <w:rFonts w:ascii="Times New Roman" w:eastAsia="宋体" w:hAnsi="Times New Roman" w:hint="eastAsia"/>
          <w:color w:val="auto"/>
          <w:szCs w:val="21"/>
          <w:highlight w:val="none"/>
          <w:lang w:eastAsia="zh-CN"/>
        </w:rPr>
      </w:pPr>
      <w:r>
        <w:rPr>
          <w:rFonts w:ascii="Times New Roman" w:eastAsia="宋体" w:hAnsi="Times New Roman" w:hint="eastAsia"/>
          <w:color w:val="auto"/>
          <w:szCs w:val="21"/>
          <w:highlight w:val="none"/>
          <w:lang w:eastAsia="zh-CN"/>
        </w:rPr>
        <w:drawing>
          <wp:inline distT="0" distB="0" distL="114300" distR="114300">
            <wp:extent cx="6446520" cy="2431415"/>
            <wp:effectExtent l="0" t="0" r="11430" b="6985"/>
            <wp:docPr id="31" name="图片 31"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1-1"/>
                    <pic:cNvPicPr>
                      <a:picLocks noChangeAspect="1"/>
                    </pic:cNvPicPr>
                  </pic:nvPicPr>
                  <pic:blipFill>
                    <a:blip xmlns:r="http://schemas.openxmlformats.org/officeDocument/2006/relationships" r:embed="rId18"/>
                    <a:stretch>
                      <a:fillRect/>
                    </a:stretch>
                  </pic:blipFill>
                  <pic:spPr>
                    <a:xfrm>
                      <a:off x="0" y="0"/>
                      <a:ext cx="6446520" cy="2431415"/>
                    </a:xfrm>
                    <a:prstGeom prst="rect">
                      <a:avLst/>
                    </a:prstGeom>
                  </pic:spPr>
                </pic:pic>
              </a:graphicData>
            </a:graphic>
          </wp:inline>
        </w:drawing>
      </w:r>
    </w:p>
    <w:p>
      <w:pPr>
        <w:spacing w:line="240" w:lineRule="auto"/>
        <w:ind w:left="0" w:firstLine="422"/>
        <w:jc w:val="center"/>
        <w:rPr>
          <w:rFonts w:ascii="Times New Roman" w:eastAsia="宋体" w:hAnsi="Times New Roman"/>
          <w:b/>
          <w:bCs/>
          <w:color w:val="auto"/>
          <w:szCs w:val="21"/>
          <w:highlight w:val="none"/>
        </w:rPr>
      </w:pPr>
      <w:r>
        <w:rPr>
          <w:rFonts w:ascii="Times New Roman" w:eastAsia="宋体" w:hAnsi="Times New Roman" w:hint="eastAsia"/>
          <w:b/>
          <w:bCs/>
          <w:color w:val="auto"/>
          <w:szCs w:val="21"/>
          <w:highlight w:val="none"/>
        </w:rPr>
        <w:t>图4</w:t>
      </w:r>
      <w:r>
        <w:rPr>
          <w:rFonts w:ascii="Times New Roman" w:eastAsia="宋体" w:hAnsi="Times New Roman"/>
          <w:b/>
          <w:bCs/>
          <w:color w:val="auto"/>
          <w:szCs w:val="21"/>
          <w:highlight w:val="none"/>
        </w:rPr>
        <w:t>-</w:t>
      </w:r>
      <w:r>
        <w:rPr>
          <w:rFonts w:ascii="Times New Roman" w:eastAsia="宋体" w:hAnsi="Times New Roman" w:hint="eastAsia"/>
          <w:b/>
          <w:bCs/>
          <w:color w:val="auto"/>
          <w:szCs w:val="21"/>
          <w:highlight w:val="none"/>
        </w:rPr>
        <w:t>4</w:t>
      </w:r>
      <w:r>
        <w:rPr>
          <w:rFonts w:ascii="Times New Roman" w:eastAsia="宋体" w:hAnsi="Times New Roman"/>
          <w:b/>
          <w:bCs/>
          <w:color w:val="auto"/>
          <w:szCs w:val="21"/>
          <w:highlight w:val="none"/>
        </w:rPr>
        <w:t xml:space="preserve"> </w:t>
      </w:r>
      <w:r>
        <w:rPr>
          <w:rFonts w:ascii="Times New Roman" w:eastAsia="宋体" w:hAnsi="Times New Roman" w:hint="eastAsia"/>
          <w:b/>
          <w:bCs/>
          <w:color w:val="auto"/>
          <w:szCs w:val="21"/>
          <w:highlight w:val="none"/>
        </w:rPr>
        <w:t xml:space="preserve"> 规划期内5G行业应用</w:t>
      </w:r>
    </w:p>
    <w:p>
      <w:pPr>
        <w:widowControl/>
        <w:spacing w:line="240" w:lineRule="auto"/>
        <w:ind w:left="0" w:firstLine="0" w:firstLineChars="0"/>
        <w:jc w:val="left"/>
        <w:rPr>
          <w:rFonts w:ascii="Times New Roman" w:eastAsia="宋体" w:hAnsi="Times New Roman"/>
          <w:b/>
          <w:color w:val="auto"/>
          <w:sz w:val="32"/>
          <w:szCs w:val="32"/>
          <w:highlight w:val="none"/>
        </w:rPr>
      </w:pPr>
      <w:r>
        <w:rPr>
          <w:rFonts w:ascii="Times New Roman" w:eastAsia="宋体" w:hAnsi="Times New Roman"/>
          <w:b/>
          <w:color w:val="auto"/>
          <w:sz w:val="32"/>
          <w:szCs w:val="32"/>
          <w:highlight w:val="none"/>
        </w:rPr>
        <w:br w:type="page"/>
      </w:r>
    </w:p>
    <w:p>
      <w:pPr>
        <w:pStyle w:val="Heading2"/>
        <w:spacing w:before="260" w:after="260" w:line="240" w:lineRule="auto"/>
        <w:ind w:left="0" w:firstLine="643"/>
        <w:rPr>
          <w:rFonts w:ascii="Times New Roman" w:eastAsia="宋体" w:hAnsi="Times New Roman"/>
          <w:color w:val="auto"/>
          <w:sz w:val="32"/>
          <w:szCs w:val="32"/>
          <w:highlight w:val="none"/>
        </w:rPr>
      </w:pPr>
      <w:bookmarkStart w:id="22" w:name="_Toc27452"/>
      <w:r>
        <w:rPr>
          <w:rFonts w:ascii="Times New Roman" w:eastAsia="宋体" w:hAnsi="Times New Roman" w:hint="eastAsia"/>
          <w:color w:val="auto"/>
          <w:sz w:val="32"/>
          <w:szCs w:val="32"/>
          <w:highlight w:val="none"/>
        </w:rPr>
        <w:t>第五章 5G通信宏基站基础设施布局规划</w:t>
      </w:r>
      <w:bookmarkEnd w:id="22"/>
    </w:p>
    <w:p>
      <w:pPr>
        <w:pStyle w:val="Heading3"/>
        <w:spacing w:line="240" w:lineRule="auto"/>
        <w:ind w:left="0" w:firstLine="482"/>
        <w:rPr>
          <w:rFonts w:ascii="Times New Roman" w:eastAsia="宋体" w:hAnsi="Times New Roman" w:cstheme="majorEastAsia"/>
          <w:color w:val="auto"/>
          <w:sz w:val="24"/>
          <w:szCs w:val="24"/>
          <w:highlight w:val="none"/>
        </w:rPr>
      </w:pPr>
      <w:bookmarkStart w:id="23" w:name="_Toc1650"/>
      <w:r>
        <w:rPr>
          <w:rFonts w:ascii="Times New Roman" w:eastAsia="宋体" w:hAnsi="Times New Roman" w:cstheme="majorEastAsia" w:hint="eastAsia"/>
          <w:color w:val="auto"/>
          <w:sz w:val="24"/>
          <w:szCs w:val="24"/>
          <w:highlight w:val="none"/>
        </w:rPr>
        <w:t>一、市域通信宏基站空间结构规划</w:t>
      </w:r>
      <w:bookmarkEnd w:id="23"/>
    </w:p>
    <w:p>
      <w:pPr>
        <w:spacing w:line="240" w:lineRule="auto"/>
        <w:ind w:left="0" w:firstLine="480"/>
        <w:rPr>
          <w:rFonts w:ascii="Times New Roman" w:eastAsia="宋体" w:hAnsi="Times New Roman" w:hint="eastAsia"/>
          <w:color w:val="auto"/>
          <w:sz w:val="24"/>
          <w:highlight w:val="none"/>
          <w:lang w:eastAsia="zh-CN"/>
        </w:rPr>
      </w:pPr>
      <w:r>
        <w:rPr>
          <w:rFonts w:ascii="Times New Roman" w:eastAsia="宋体" w:hAnsi="Times New Roman" w:hint="eastAsia"/>
          <w:color w:val="auto"/>
          <w:sz w:val="24"/>
          <w:highlight w:val="none"/>
        </w:rPr>
        <w:t>本次规划</w:t>
      </w:r>
      <w:r>
        <w:rPr>
          <w:rFonts w:ascii="Times New Roman" w:eastAsia="宋体" w:hAnsi="Times New Roman" w:hint="eastAsia"/>
          <w:color w:val="auto"/>
          <w:sz w:val="24"/>
          <w:highlight w:val="none"/>
          <w:lang w:val="en-US" w:eastAsia="zh-CN"/>
        </w:rPr>
        <w:t>范围以</w:t>
      </w:r>
      <w:r>
        <w:rPr>
          <w:rFonts w:ascii="Times New Roman" w:eastAsia="宋体" w:hAnsi="Times New Roman" w:hint="eastAsia"/>
          <w:color w:val="auto"/>
          <w:sz w:val="24"/>
          <w:highlight w:val="none"/>
        </w:rPr>
        <w:t>《玉林市国土空间总体规划（2021-2035年）》</w:t>
      </w:r>
      <w:r>
        <w:rPr>
          <w:rFonts w:ascii="Times New Roman" w:eastAsia="宋体" w:hAnsi="Times New Roman" w:hint="eastAsia"/>
          <w:color w:val="auto"/>
          <w:sz w:val="24"/>
          <w:highlight w:val="none"/>
          <w:lang w:val="en-US" w:eastAsia="zh-CN"/>
        </w:rPr>
        <w:t>中规划的玉林市区行政区界线为基础，</w:t>
      </w:r>
      <w:r>
        <w:rPr>
          <w:rFonts w:ascii="Times New Roman" w:eastAsia="宋体" w:hAnsi="Times New Roman" w:hint="eastAsia"/>
          <w:color w:val="auto"/>
          <w:sz w:val="24"/>
          <w:highlight w:val="none"/>
        </w:rPr>
        <w:t>包括玉州区、福绵区、北流市、博白县、容县、陆川县、兴业县，市域国土总面积12824.25平方公里</w:t>
      </w:r>
      <w:r>
        <w:rPr>
          <w:rFonts w:ascii="Times New Roman" w:eastAsia="宋体" w:hAnsi="Times New Roman" w:hint="eastAsia"/>
          <w:color w:val="auto"/>
          <w:sz w:val="24"/>
          <w:highlight w:val="none"/>
          <w:lang w:eastAsia="zh-CN"/>
        </w:rPr>
        <w:t>。</w:t>
      </w: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rPr>
        <w:t>其中玉林市中心城区、各县、各工业园区及开发区的总体规划、控制性详细规划所确定的规划范围为本次规划的重点区域：主要为《玉林市国土空间总体规划（2021-2035年）》、《广西公路网规划（</w:t>
      </w:r>
      <w:r>
        <w:rPr>
          <w:rFonts w:ascii="Times New Roman" w:eastAsia="宋体" w:hAnsi="Times New Roman"/>
          <w:color w:val="auto"/>
          <w:sz w:val="24"/>
          <w:highlight w:val="none"/>
        </w:rPr>
        <w:t>2018</w:t>
      </w:r>
      <w:r>
        <w:rPr>
          <w:rFonts w:ascii="Times New Roman" w:eastAsia="宋体" w:hAnsi="Times New Roman" w:hint="eastAsia"/>
          <w:color w:val="auto"/>
          <w:sz w:val="24"/>
          <w:highlight w:val="none"/>
        </w:rPr>
        <w:t>-20</w:t>
      </w:r>
      <w:r>
        <w:rPr>
          <w:rFonts w:ascii="Times New Roman" w:eastAsia="宋体" w:hAnsi="Times New Roman"/>
          <w:color w:val="auto"/>
          <w:sz w:val="24"/>
          <w:highlight w:val="none"/>
        </w:rPr>
        <w:t>30</w:t>
      </w:r>
      <w:r>
        <w:rPr>
          <w:rFonts w:ascii="Times New Roman" w:eastAsia="宋体" w:hAnsi="Times New Roman" w:hint="eastAsia"/>
          <w:color w:val="auto"/>
          <w:sz w:val="24"/>
          <w:highlight w:val="none"/>
        </w:rPr>
        <w:t>）》所确定的规划范围，规划范围包括城镇开发边界覆盖的城市街道、乡镇范围以及包括高铁新城、广西先进装备制造城规划用地范围在内的重点发展地区，总面积677.70平方公里。</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本次规划涵盖主要为市区、县城、开发区、工业园区、乡镇、农村、高速公路、高铁线路等。规划期限：202</w:t>
      </w:r>
      <w:r>
        <w:rPr>
          <w:rFonts w:ascii="Times New Roman" w:eastAsia="宋体" w:hAnsi="Times New Roman" w:hint="eastAsia"/>
          <w:color w:val="auto"/>
          <w:sz w:val="24"/>
          <w:highlight w:val="none"/>
          <w:lang w:val="en-US" w:eastAsia="zh-CN"/>
        </w:rPr>
        <w:t>1</w:t>
      </w:r>
      <w:r>
        <w:rPr>
          <w:rFonts w:ascii="Times New Roman" w:eastAsia="宋体" w:hAnsi="Times New Roman" w:hint="eastAsia"/>
          <w:color w:val="auto"/>
          <w:sz w:val="24"/>
          <w:highlight w:val="none"/>
        </w:rPr>
        <w:t>-2035年。</w:t>
      </w:r>
    </w:p>
    <w:p>
      <w:pPr>
        <w:pStyle w:val="Heading3"/>
        <w:spacing w:line="240" w:lineRule="auto"/>
        <w:ind w:left="0" w:firstLine="482"/>
        <w:rPr>
          <w:rFonts w:ascii="Times New Roman" w:eastAsia="宋体" w:hAnsi="Times New Roman" w:cstheme="majorEastAsia"/>
          <w:color w:val="auto"/>
          <w:sz w:val="24"/>
          <w:szCs w:val="24"/>
          <w:highlight w:val="none"/>
        </w:rPr>
      </w:pPr>
      <w:bookmarkStart w:id="24" w:name="_Toc26512"/>
      <w:r>
        <w:rPr>
          <w:rFonts w:ascii="Times New Roman" w:eastAsia="宋体" w:hAnsi="Times New Roman" w:cstheme="majorEastAsia" w:hint="eastAsia"/>
          <w:color w:val="auto"/>
          <w:sz w:val="24"/>
          <w:szCs w:val="24"/>
          <w:highlight w:val="none"/>
        </w:rPr>
        <w:t>二、市域通信宏基站规划原则</w:t>
      </w:r>
      <w:bookmarkEnd w:id="24"/>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1、站址规划思路</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本次规划通过现状基站整合与升级、加密布局新建基站等方法，对玉林市5G宏基站进行空间布局。结合规划原则和覆盖需求，进行5G基站空间布局说明如下：</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（1）结合现有资源情况，按照基础电信企业现有4G基站1:1的比例共址规划；</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（2）按照基础电信企业现有4G基站1:1的比例共址规划后，不能满足5G规划需求时，考虑新建站址满足覆盖需求。</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2、存量站址评估</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在站址布局规划基础上，以满足5G目标区域有效覆盖为前提，兼顾各方社会效益、工程难度及造价等因素，优先考虑存量共享和利用社会资源，其次考虑新建共享，避免重复建设，具体整合流程如下：</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（1）需评估存量站址的可用性，根据站址位置、塔桅承载空间等站址资源能力情况，重点分析塔桅承载能力和外市电是否可改造等资源能力关键信息。</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（2）站址可用性评估中，除了对配套需求进行分析，还应充分考虑业主因素，新增设备或改造建设时候是否受阻。</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对于存量站址通过改造后不能满足建设需求的站点，需在原址附近新建站点来替代。</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3、站址布局原则</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根据目前5G技术研究分析、试验网和实际网络建设测试数据，各频段站间距参考如下：</w:t>
      </w:r>
    </w:p>
    <w:p>
      <w:pPr>
        <w:widowControl/>
        <w:spacing w:line="240" w:lineRule="auto"/>
        <w:ind w:left="0" w:firstLine="422"/>
        <w:jc w:val="center"/>
        <w:rPr>
          <w:rFonts w:ascii="Times New Roman" w:eastAsia="宋体" w:hAnsi="Times New Roman"/>
          <w:b/>
          <w:bCs/>
          <w:color w:val="auto"/>
          <w:szCs w:val="21"/>
          <w:highlight w:val="none"/>
        </w:rPr>
      </w:pPr>
      <w:r>
        <w:rPr>
          <w:rFonts w:ascii="Times New Roman" w:eastAsia="宋体" w:hAnsi="Times New Roman" w:hint="eastAsia"/>
          <w:b/>
          <w:bCs/>
          <w:color w:val="auto"/>
          <w:szCs w:val="21"/>
          <w:highlight w:val="none"/>
        </w:rPr>
        <w:t>表5</w:t>
      </w:r>
      <w:r>
        <w:rPr>
          <w:rFonts w:ascii="Times New Roman" w:eastAsia="宋体" w:hAnsi="Times New Roman"/>
          <w:b/>
          <w:bCs/>
          <w:color w:val="auto"/>
          <w:szCs w:val="21"/>
          <w:highlight w:val="none"/>
        </w:rPr>
        <w:t>-1</w:t>
      </w:r>
      <w:r>
        <w:rPr>
          <w:rFonts w:ascii="Times New Roman" w:eastAsia="宋体" w:hAnsi="Times New Roman" w:hint="eastAsia"/>
          <w:b/>
          <w:bCs/>
          <w:color w:val="auto"/>
          <w:szCs w:val="21"/>
          <w:highlight w:val="none"/>
        </w:rPr>
        <w:t xml:space="preserve">  5G各频段典型站距统计表</w:t>
      </w:r>
    </w:p>
    <w:tbl>
      <w:tblPr>
        <w:tblStyle w:val="TableNormal"/>
        <w:tblW w:w="10180" w:type="dxa"/>
        <w:tblInd w:w="93" w:type="dxa"/>
        <w:tblCellMar>
          <w:top w:w="0" w:type="dxa"/>
          <w:left w:w="108" w:type="dxa"/>
          <w:bottom w:w="0" w:type="dxa"/>
          <w:right w:w="108" w:type="dxa"/>
        </w:tblCellMar>
      </w:tblPr>
      <w:tblGrid>
        <w:gridCol w:w="1043"/>
        <w:gridCol w:w="2491"/>
        <w:gridCol w:w="2066"/>
        <w:gridCol w:w="1120"/>
        <w:gridCol w:w="1120"/>
        <w:gridCol w:w="1170"/>
        <w:gridCol w:w="1170"/>
      </w:tblGrid>
      <w:tr>
        <w:tblPrEx>
          <w:tblW w:w="10180" w:type="dxa"/>
          <w:tblInd w:w="93" w:type="dxa"/>
          <w:tblCellMar>
            <w:top w:w="0" w:type="dxa"/>
            <w:left w:w="108" w:type="dxa"/>
            <w:bottom w:w="0" w:type="dxa"/>
            <w:right w:w="108" w:type="dxa"/>
          </w:tblCellMar>
        </w:tblPrEx>
        <w:trPr>
          <w:trHeight w:val="270"/>
          <w:tblHeader/>
        </w:trPr>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b/>
                <w:bCs/>
                <w:color w:val="auto"/>
                <w:kern w:val="0"/>
                <w:szCs w:val="21"/>
                <w:highlight w:val="none"/>
              </w:rPr>
            </w:pPr>
            <w:r>
              <w:rPr>
                <w:rFonts w:ascii="Times New Roman" w:eastAsia="宋体" w:hAnsi="Times New Roman" w:cs="宋体" w:hint="eastAsia"/>
                <w:b/>
                <w:color w:val="auto"/>
                <w:kern w:val="0"/>
                <w:szCs w:val="21"/>
                <w:highlight w:val="none"/>
              </w:rPr>
              <w:t>运营商</w:t>
            </w:r>
          </w:p>
        </w:tc>
        <w:tc>
          <w:tcPr>
            <w:tcW w:w="25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频段</w:t>
            </w:r>
          </w:p>
        </w:tc>
        <w:tc>
          <w:tcPr>
            <w:tcW w:w="20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网络制式</w:t>
            </w:r>
          </w:p>
        </w:tc>
        <w:tc>
          <w:tcPr>
            <w:tcW w:w="4480" w:type="dxa"/>
            <w:gridSpan w:val="4"/>
            <w:tcBorders>
              <w:top w:val="single" w:sz="4" w:space="0" w:color="auto"/>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b/>
                <w:color w:val="auto"/>
                <w:kern w:val="0"/>
                <w:szCs w:val="21"/>
                <w:highlight w:val="none"/>
              </w:rPr>
            </w:pPr>
            <w:r>
              <w:rPr>
                <w:rFonts w:ascii="Times New Roman" w:eastAsia="宋体" w:hAnsi="Times New Roman" w:cs="宋体" w:hint="eastAsia"/>
                <w:b/>
                <w:color w:val="auto"/>
                <w:kern w:val="0"/>
                <w:szCs w:val="21"/>
                <w:highlight w:val="none"/>
              </w:rPr>
              <w:t>典型站距</w:t>
            </w:r>
          </w:p>
        </w:tc>
      </w:tr>
      <w:tr>
        <w:tblPrEx>
          <w:tblW w:w="10180" w:type="dxa"/>
          <w:tblInd w:w="93" w:type="dxa"/>
          <w:tblCellMar>
            <w:top w:w="0" w:type="dxa"/>
            <w:left w:w="108" w:type="dxa"/>
            <w:bottom w:w="0" w:type="dxa"/>
            <w:right w:w="108" w:type="dxa"/>
          </w:tblCellMar>
        </w:tblPrEx>
        <w:trPr>
          <w:trHeight w:val="480"/>
          <w:tblHeader/>
        </w:trPr>
        <w:tc>
          <w:tcPr>
            <w:tcW w:w="1080" w:type="dxa"/>
            <w:vMerge/>
            <w:tcBorders>
              <w:top w:val="single" w:sz="4" w:space="0" w:color="auto"/>
              <w:left w:val="single" w:sz="4" w:space="0" w:color="auto"/>
              <w:bottom w:val="single" w:sz="4" w:space="0" w:color="000000"/>
              <w:right w:val="single" w:sz="4" w:space="0" w:color="auto"/>
            </w:tcBorders>
            <w:vAlign w:val="center"/>
          </w:tcPr>
          <w:p>
            <w:pPr>
              <w:widowControl/>
              <w:spacing w:line="240" w:lineRule="auto"/>
              <w:ind w:left="0" w:firstLine="0" w:firstLineChars="0"/>
              <w:jc w:val="left"/>
              <w:rPr>
                <w:rFonts w:ascii="Times New Roman" w:eastAsia="宋体" w:hAnsi="Times New Roman" w:cs="宋体"/>
                <w:b/>
                <w:bCs/>
                <w:color w:val="auto"/>
                <w:kern w:val="0"/>
                <w:szCs w:val="21"/>
                <w:highlight w:val="none"/>
              </w:rPr>
            </w:pPr>
          </w:p>
        </w:tc>
        <w:tc>
          <w:tcPr>
            <w:tcW w:w="2540" w:type="dxa"/>
            <w:vMerge/>
            <w:tcBorders>
              <w:top w:val="single" w:sz="4" w:space="0" w:color="auto"/>
              <w:left w:val="single" w:sz="4" w:space="0" w:color="auto"/>
              <w:bottom w:val="single" w:sz="4" w:space="0" w:color="000000"/>
              <w:right w:val="single" w:sz="4" w:space="0" w:color="auto"/>
            </w:tcBorders>
            <w:vAlign w:val="center"/>
          </w:tcPr>
          <w:p>
            <w:pPr>
              <w:widowControl/>
              <w:spacing w:line="240" w:lineRule="auto"/>
              <w:ind w:left="0" w:firstLine="0" w:firstLineChars="0"/>
              <w:jc w:val="left"/>
              <w:rPr>
                <w:rFonts w:ascii="Times New Roman" w:eastAsia="宋体" w:hAnsi="Times New Roman" w:cs="宋体"/>
                <w:b/>
                <w:bCs/>
                <w:color w:val="auto"/>
                <w:kern w:val="0"/>
                <w:szCs w:val="21"/>
                <w:highlight w:val="none"/>
              </w:rPr>
            </w:pPr>
          </w:p>
        </w:tc>
        <w:tc>
          <w:tcPr>
            <w:tcW w:w="2080" w:type="dxa"/>
            <w:vMerge/>
            <w:tcBorders>
              <w:top w:val="single" w:sz="4" w:space="0" w:color="auto"/>
              <w:left w:val="single" w:sz="4" w:space="0" w:color="auto"/>
              <w:bottom w:val="single" w:sz="4" w:space="0" w:color="000000"/>
              <w:right w:val="single" w:sz="4" w:space="0" w:color="auto"/>
            </w:tcBorders>
            <w:vAlign w:val="center"/>
          </w:tcPr>
          <w:p>
            <w:pPr>
              <w:widowControl/>
              <w:spacing w:line="240" w:lineRule="auto"/>
              <w:ind w:left="0" w:firstLine="0" w:firstLineChars="0"/>
              <w:jc w:val="left"/>
              <w:rPr>
                <w:rFonts w:ascii="Times New Roman" w:eastAsia="宋体" w:hAnsi="Times New Roman" w:cs="宋体"/>
                <w:b/>
                <w:bCs/>
                <w:color w:val="auto"/>
                <w:kern w:val="0"/>
                <w:szCs w:val="21"/>
                <w:highlight w:val="none"/>
              </w:rPr>
            </w:pPr>
          </w:p>
        </w:tc>
        <w:tc>
          <w:tcPr>
            <w:tcW w:w="1120" w:type="dxa"/>
            <w:tcBorders>
              <w:top w:val="nil"/>
              <w:left w:val="nil"/>
              <w:bottom w:val="single" w:sz="4" w:space="0" w:color="auto"/>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b/>
                <w:color w:val="auto"/>
                <w:kern w:val="0"/>
                <w:szCs w:val="21"/>
                <w:highlight w:val="none"/>
              </w:rPr>
            </w:pPr>
            <w:r>
              <w:rPr>
                <w:rFonts w:ascii="Times New Roman" w:eastAsia="宋体" w:hAnsi="Times New Roman" w:cs="宋体" w:hint="eastAsia"/>
                <w:b/>
                <w:color w:val="auto"/>
                <w:kern w:val="0"/>
                <w:szCs w:val="21"/>
                <w:highlight w:val="none"/>
              </w:rPr>
              <w:t>密集城区</w:t>
            </w:r>
          </w:p>
        </w:tc>
        <w:tc>
          <w:tcPr>
            <w:tcW w:w="1120" w:type="dxa"/>
            <w:tcBorders>
              <w:top w:val="nil"/>
              <w:left w:val="nil"/>
              <w:bottom w:val="single" w:sz="4" w:space="0" w:color="auto"/>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b/>
                <w:color w:val="auto"/>
                <w:kern w:val="0"/>
                <w:szCs w:val="21"/>
                <w:highlight w:val="none"/>
              </w:rPr>
            </w:pPr>
            <w:r>
              <w:rPr>
                <w:rFonts w:ascii="Times New Roman" w:eastAsia="宋体" w:hAnsi="Times New Roman" w:cs="宋体" w:hint="eastAsia"/>
                <w:b/>
                <w:color w:val="auto"/>
                <w:kern w:val="0"/>
                <w:szCs w:val="21"/>
                <w:highlight w:val="none"/>
              </w:rPr>
              <w:t>一般城区/县城城区</w:t>
            </w:r>
          </w:p>
        </w:tc>
        <w:tc>
          <w:tcPr>
            <w:tcW w:w="1120" w:type="dxa"/>
            <w:tcBorders>
              <w:top w:val="nil"/>
              <w:left w:val="nil"/>
              <w:bottom w:val="single" w:sz="4" w:space="0" w:color="auto"/>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b/>
                <w:color w:val="auto"/>
                <w:kern w:val="0"/>
                <w:szCs w:val="21"/>
                <w:highlight w:val="none"/>
              </w:rPr>
            </w:pPr>
            <w:r>
              <w:rPr>
                <w:rFonts w:ascii="Times New Roman" w:eastAsia="宋体" w:hAnsi="Times New Roman" w:cs="宋体" w:hint="eastAsia"/>
                <w:b/>
                <w:color w:val="auto"/>
                <w:kern w:val="0"/>
                <w:szCs w:val="21"/>
                <w:highlight w:val="none"/>
              </w:rPr>
              <w:t>郊区镇区</w:t>
            </w:r>
          </w:p>
        </w:tc>
        <w:tc>
          <w:tcPr>
            <w:tcW w:w="1120" w:type="dxa"/>
            <w:tcBorders>
              <w:top w:val="nil"/>
              <w:left w:val="nil"/>
              <w:bottom w:val="single" w:sz="4" w:space="0" w:color="auto"/>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b/>
                <w:color w:val="auto"/>
                <w:kern w:val="0"/>
                <w:szCs w:val="21"/>
                <w:highlight w:val="none"/>
              </w:rPr>
            </w:pPr>
            <w:r>
              <w:rPr>
                <w:rFonts w:ascii="Times New Roman" w:eastAsia="宋体" w:hAnsi="Times New Roman" w:cs="宋体" w:hint="eastAsia"/>
                <w:b/>
                <w:color w:val="auto"/>
                <w:kern w:val="0"/>
                <w:szCs w:val="21"/>
                <w:highlight w:val="none"/>
              </w:rPr>
              <w:t>农村</w:t>
            </w:r>
          </w:p>
        </w:tc>
      </w:tr>
      <w:tr>
        <w:tblPrEx>
          <w:tblW w:w="10180" w:type="dxa"/>
          <w:tblInd w:w="93" w:type="dxa"/>
          <w:tblCellMar>
            <w:top w:w="0" w:type="dxa"/>
            <w:left w:w="108" w:type="dxa"/>
            <w:bottom w:w="0" w:type="dxa"/>
            <w:right w:w="108" w:type="dxa"/>
          </w:tblCellMar>
        </w:tblPrEx>
        <w:trPr>
          <w:trHeight w:val="270"/>
        </w:trPr>
        <w:tc>
          <w:tcPr>
            <w:tcW w:w="1080" w:type="dxa"/>
            <w:vMerge w:val="restart"/>
            <w:tcBorders>
              <w:top w:val="nil"/>
              <w:left w:val="single" w:sz="4" w:space="0" w:color="auto"/>
              <w:bottom w:val="single" w:sz="4" w:space="0" w:color="000000"/>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 xml:space="preserve">中国电信 </w:t>
            </w:r>
          </w:p>
        </w:tc>
        <w:tc>
          <w:tcPr>
            <w:tcW w:w="2540" w:type="dxa"/>
            <w:tcBorders>
              <w:top w:val="nil"/>
              <w:left w:val="nil"/>
              <w:bottom w:val="single" w:sz="4" w:space="0" w:color="auto"/>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850MHz（Band5）</w:t>
            </w:r>
          </w:p>
        </w:tc>
        <w:tc>
          <w:tcPr>
            <w:tcW w:w="2080" w:type="dxa"/>
            <w:tcBorders>
              <w:top w:val="nil"/>
              <w:left w:val="nil"/>
              <w:bottom w:val="single" w:sz="4" w:space="0" w:color="auto"/>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2G/3G/4G/NB-IoT</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600~650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700~750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1000~1200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1500~3000</w:t>
            </w:r>
          </w:p>
        </w:tc>
      </w:tr>
      <w:tr>
        <w:tblPrEx>
          <w:tblW w:w="10180" w:type="dxa"/>
          <w:tblInd w:w="93" w:type="dxa"/>
          <w:tblCellMar>
            <w:top w:w="0" w:type="dxa"/>
            <w:left w:w="108" w:type="dxa"/>
            <w:bottom w:w="0" w:type="dxa"/>
            <w:right w:w="108" w:type="dxa"/>
          </w:tblCellMar>
        </w:tblPrEx>
        <w:trPr>
          <w:trHeight w:val="270"/>
        </w:trPr>
        <w:tc>
          <w:tcPr>
            <w:tcW w:w="1080" w:type="dxa"/>
            <w:vMerge/>
            <w:tcBorders>
              <w:top w:val="nil"/>
              <w:left w:val="single" w:sz="4" w:space="0" w:color="auto"/>
              <w:bottom w:val="single" w:sz="4" w:space="0" w:color="000000"/>
              <w:right w:val="single" w:sz="4" w:space="0" w:color="auto"/>
            </w:tcBorders>
            <w:vAlign w:val="center"/>
          </w:tcPr>
          <w:p>
            <w:pPr>
              <w:widowControl/>
              <w:spacing w:line="240" w:lineRule="auto"/>
              <w:ind w:left="0" w:firstLine="0" w:firstLineChars="0"/>
              <w:jc w:val="left"/>
              <w:rPr>
                <w:rFonts w:ascii="Times New Roman" w:eastAsia="宋体" w:hAnsi="Times New Roman" w:cs="宋体"/>
                <w:color w:val="auto"/>
                <w:kern w:val="0"/>
                <w:szCs w:val="21"/>
                <w:highlight w:val="none"/>
              </w:rPr>
            </w:pPr>
          </w:p>
        </w:tc>
        <w:tc>
          <w:tcPr>
            <w:tcW w:w="2540" w:type="dxa"/>
            <w:tcBorders>
              <w:top w:val="nil"/>
              <w:left w:val="nil"/>
              <w:bottom w:val="single" w:sz="4" w:space="0" w:color="auto"/>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1800MHz</w:t>
            </w:r>
            <w:r>
              <w:rPr>
                <w:rFonts w:ascii="Times New Roman" w:eastAsia="宋体" w:hAnsi="Times New Roman" w:cs="宋体" w:hint="eastAsia"/>
                <w:color w:val="auto"/>
                <w:kern w:val="0"/>
                <w:szCs w:val="21"/>
                <w:highlight w:val="none"/>
                <w:lang w:eastAsia="zh-CN"/>
              </w:rPr>
              <w:t>（</w:t>
            </w:r>
            <w:r>
              <w:rPr>
                <w:rFonts w:ascii="Times New Roman" w:eastAsia="宋体" w:hAnsi="Times New Roman" w:cs="宋体" w:hint="eastAsia"/>
                <w:color w:val="auto"/>
                <w:kern w:val="0"/>
                <w:szCs w:val="21"/>
                <w:highlight w:val="none"/>
              </w:rPr>
              <w:t>Band3</w:t>
            </w:r>
            <w:r>
              <w:rPr>
                <w:rFonts w:ascii="Times New Roman" w:eastAsia="宋体" w:hAnsi="Times New Roman" w:cs="宋体" w:hint="eastAsia"/>
                <w:color w:val="auto"/>
                <w:kern w:val="0"/>
                <w:szCs w:val="21"/>
                <w:highlight w:val="none"/>
                <w:lang w:eastAsia="zh-CN"/>
              </w:rPr>
              <w:t>）</w:t>
            </w:r>
          </w:p>
        </w:tc>
        <w:tc>
          <w:tcPr>
            <w:tcW w:w="2080" w:type="dxa"/>
            <w:tcBorders>
              <w:top w:val="nil"/>
              <w:left w:val="nil"/>
              <w:bottom w:val="single" w:sz="4" w:space="0" w:color="auto"/>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4G</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400~550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550~650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700~1100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1200~2200</w:t>
            </w:r>
          </w:p>
        </w:tc>
      </w:tr>
      <w:tr>
        <w:tblPrEx>
          <w:tblW w:w="10180" w:type="dxa"/>
          <w:tblInd w:w="93" w:type="dxa"/>
          <w:tblCellMar>
            <w:top w:w="0" w:type="dxa"/>
            <w:left w:w="108" w:type="dxa"/>
            <w:bottom w:w="0" w:type="dxa"/>
            <w:right w:w="108" w:type="dxa"/>
          </w:tblCellMar>
        </w:tblPrEx>
        <w:trPr>
          <w:trHeight w:val="270"/>
        </w:trPr>
        <w:tc>
          <w:tcPr>
            <w:tcW w:w="1080" w:type="dxa"/>
            <w:vMerge/>
            <w:tcBorders>
              <w:top w:val="nil"/>
              <w:left w:val="single" w:sz="4" w:space="0" w:color="auto"/>
              <w:bottom w:val="single" w:sz="4" w:space="0" w:color="000000"/>
              <w:right w:val="single" w:sz="4" w:space="0" w:color="auto"/>
            </w:tcBorders>
            <w:vAlign w:val="center"/>
          </w:tcPr>
          <w:p>
            <w:pPr>
              <w:widowControl/>
              <w:spacing w:line="240" w:lineRule="auto"/>
              <w:ind w:left="0" w:firstLine="0" w:firstLineChars="0"/>
              <w:jc w:val="left"/>
              <w:rPr>
                <w:rFonts w:ascii="Times New Roman" w:eastAsia="宋体" w:hAnsi="Times New Roman" w:cs="宋体"/>
                <w:color w:val="auto"/>
                <w:kern w:val="0"/>
                <w:szCs w:val="21"/>
                <w:highlight w:val="none"/>
              </w:rPr>
            </w:pPr>
          </w:p>
        </w:tc>
        <w:tc>
          <w:tcPr>
            <w:tcW w:w="2540" w:type="dxa"/>
            <w:tcBorders>
              <w:top w:val="nil"/>
              <w:left w:val="nil"/>
              <w:bottom w:val="single" w:sz="4" w:space="0" w:color="auto"/>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2.1GHz（Band1，n1）</w:t>
            </w:r>
          </w:p>
        </w:tc>
        <w:tc>
          <w:tcPr>
            <w:tcW w:w="2080" w:type="dxa"/>
            <w:tcBorders>
              <w:top w:val="nil"/>
              <w:left w:val="nil"/>
              <w:bottom w:val="single" w:sz="4" w:space="0" w:color="auto"/>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4G/5G</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400~550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550~650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700~1100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1200~2200</w:t>
            </w:r>
          </w:p>
        </w:tc>
      </w:tr>
      <w:tr>
        <w:tblPrEx>
          <w:tblW w:w="10180" w:type="dxa"/>
          <w:tblInd w:w="93" w:type="dxa"/>
          <w:tblCellMar>
            <w:top w:w="0" w:type="dxa"/>
            <w:left w:w="108" w:type="dxa"/>
            <w:bottom w:w="0" w:type="dxa"/>
            <w:right w:w="108" w:type="dxa"/>
          </w:tblCellMar>
        </w:tblPrEx>
        <w:trPr>
          <w:trHeight w:val="270"/>
        </w:trPr>
        <w:tc>
          <w:tcPr>
            <w:tcW w:w="1080" w:type="dxa"/>
            <w:vMerge/>
            <w:tcBorders>
              <w:top w:val="nil"/>
              <w:left w:val="single" w:sz="4" w:space="0" w:color="auto"/>
              <w:bottom w:val="single" w:sz="4" w:space="0" w:color="000000"/>
              <w:right w:val="single" w:sz="4" w:space="0" w:color="auto"/>
            </w:tcBorders>
            <w:vAlign w:val="center"/>
          </w:tcPr>
          <w:p>
            <w:pPr>
              <w:widowControl/>
              <w:spacing w:line="240" w:lineRule="auto"/>
              <w:ind w:left="0" w:firstLine="0" w:firstLineChars="0"/>
              <w:jc w:val="left"/>
              <w:rPr>
                <w:rFonts w:ascii="Times New Roman" w:eastAsia="宋体" w:hAnsi="Times New Roman" w:cs="宋体"/>
                <w:color w:val="auto"/>
                <w:kern w:val="0"/>
                <w:szCs w:val="21"/>
                <w:highlight w:val="none"/>
              </w:rPr>
            </w:pPr>
          </w:p>
        </w:tc>
        <w:tc>
          <w:tcPr>
            <w:tcW w:w="2540" w:type="dxa"/>
            <w:tcBorders>
              <w:top w:val="nil"/>
              <w:left w:val="nil"/>
              <w:bottom w:val="single" w:sz="4" w:space="0" w:color="auto"/>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3.5GHz（n78）</w:t>
            </w:r>
          </w:p>
        </w:tc>
        <w:tc>
          <w:tcPr>
            <w:tcW w:w="2080" w:type="dxa"/>
            <w:tcBorders>
              <w:top w:val="nil"/>
              <w:left w:val="nil"/>
              <w:bottom w:val="single" w:sz="4" w:space="0" w:color="auto"/>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5G</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250~350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350~450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600~900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1000~1400</w:t>
            </w:r>
          </w:p>
        </w:tc>
      </w:tr>
      <w:tr>
        <w:tblPrEx>
          <w:tblW w:w="10180" w:type="dxa"/>
          <w:tblInd w:w="93" w:type="dxa"/>
          <w:tblCellMar>
            <w:top w:w="0" w:type="dxa"/>
            <w:left w:w="108" w:type="dxa"/>
            <w:bottom w:w="0" w:type="dxa"/>
            <w:right w:w="108" w:type="dxa"/>
          </w:tblCellMar>
        </w:tblPrEx>
        <w:trPr>
          <w:trHeight w:val="270"/>
        </w:trPr>
        <w:tc>
          <w:tcPr>
            <w:tcW w:w="1080" w:type="dxa"/>
            <w:vMerge w:val="restart"/>
            <w:tcBorders>
              <w:top w:val="nil"/>
              <w:left w:val="single" w:sz="4" w:space="0" w:color="auto"/>
              <w:bottom w:val="single" w:sz="4" w:space="0" w:color="000000"/>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中国联通</w:t>
            </w:r>
          </w:p>
        </w:tc>
        <w:tc>
          <w:tcPr>
            <w:tcW w:w="2540" w:type="dxa"/>
            <w:tcBorders>
              <w:top w:val="nil"/>
              <w:left w:val="nil"/>
              <w:bottom w:val="single" w:sz="4" w:space="0" w:color="auto"/>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900MHz（Band8）</w:t>
            </w:r>
          </w:p>
        </w:tc>
        <w:tc>
          <w:tcPr>
            <w:tcW w:w="2080" w:type="dxa"/>
            <w:tcBorders>
              <w:top w:val="nil"/>
              <w:left w:val="nil"/>
              <w:bottom w:val="single" w:sz="4" w:space="0" w:color="auto"/>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2G/NB-IoT/3G/4G</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600~650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700~750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1000~1200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1500~3000</w:t>
            </w:r>
          </w:p>
        </w:tc>
      </w:tr>
      <w:tr>
        <w:tblPrEx>
          <w:tblW w:w="10180" w:type="dxa"/>
          <w:tblInd w:w="93" w:type="dxa"/>
          <w:tblCellMar>
            <w:top w:w="0" w:type="dxa"/>
            <w:left w:w="108" w:type="dxa"/>
            <w:bottom w:w="0" w:type="dxa"/>
            <w:right w:w="108" w:type="dxa"/>
          </w:tblCellMar>
        </w:tblPrEx>
        <w:trPr>
          <w:trHeight w:val="270"/>
        </w:trPr>
        <w:tc>
          <w:tcPr>
            <w:tcW w:w="1080" w:type="dxa"/>
            <w:vMerge/>
            <w:tcBorders>
              <w:top w:val="nil"/>
              <w:left w:val="single" w:sz="4" w:space="0" w:color="auto"/>
              <w:bottom w:val="single" w:sz="4" w:space="0" w:color="000000"/>
              <w:right w:val="single" w:sz="4" w:space="0" w:color="auto"/>
            </w:tcBorders>
            <w:vAlign w:val="center"/>
          </w:tcPr>
          <w:p>
            <w:pPr>
              <w:widowControl/>
              <w:spacing w:line="240" w:lineRule="auto"/>
              <w:ind w:left="0" w:firstLine="0" w:firstLineChars="0"/>
              <w:jc w:val="left"/>
              <w:rPr>
                <w:rFonts w:ascii="Times New Roman" w:eastAsia="宋体" w:hAnsi="Times New Roman" w:cs="宋体"/>
                <w:color w:val="auto"/>
                <w:kern w:val="0"/>
                <w:szCs w:val="21"/>
                <w:highlight w:val="none"/>
              </w:rPr>
            </w:pPr>
          </w:p>
        </w:tc>
        <w:tc>
          <w:tcPr>
            <w:tcW w:w="2540" w:type="dxa"/>
            <w:tcBorders>
              <w:top w:val="nil"/>
              <w:left w:val="nil"/>
              <w:bottom w:val="single" w:sz="4" w:space="0" w:color="auto"/>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1800MHz</w:t>
            </w:r>
            <w:r>
              <w:rPr>
                <w:rFonts w:ascii="Times New Roman" w:eastAsia="宋体" w:hAnsi="Times New Roman" w:cs="宋体" w:hint="eastAsia"/>
                <w:color w:val="auto"/>
                <w:kern w:val="0"/>
                <w:szCs w:val="21"/>
                <w:highlight w:val="none"/>
                <w:lang w:eastAsia="zh-CN"/>
              </w:rPr>
              <w:t>（</w:t>
            </w:r>
            <w:r>
              <w:rPr>
                <w:rFonts w:ascii="Times New Roman" w:eastAsia="宋体" w:hAnsi="Times New Roman" w:cs="宋体" w:hint="eastAsia"/>
                <w:color w:val="auto"/>
                <w:kern w:val="0"/>
                <w:szCs w:val="21"/>
                <w:highlight w:val="none"/>
              </w:rPr>
              <w:t>Band3</w:t>
            </w:r>
            <w:r>
              <w:rPr>
                <w:rFonts w:ascii="Times New Roman" w:eastAsia="宋体" w:hAnsi="Times New Roman" w:cs="宋体" w:hint="eastAsia"/>
                <w:color w:val="auto"/>
                <w:kern w:val="0"/>
                <w:szCs w:val="21"/>
                <w:highlight w:val="none"/>
                <w:lang w:eastAsia="zh-CN"/>
              </w:rPr>
              <w:t>）</w:t>
            </w:r>
          </w:p>
        </w:tc>
        <w:tc>
          <w:tcPr>
            <w:tcW w:w="2080" w:type="dxa"/>
            <w:tcBorders>
              <w:top w:val="nil"/>
              <w:left w:val="nil"/>
              <w:bottom w:val="single" w:sz="4" w:space="0" w:color="auto"/>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2G/4G</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400~550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550~650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700~1100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1200~2200</w:t>
            </w:r>
          </w:p>
        </w:tc>
      </w:tr>
      <w:tr>
        <w:tblPrEx>
          <w:tblW w:w="10180" w:type="dxa"/>
          <w:tblInd w:w="93" w:type="dxa"/>
          <w:tblCellMar>
            <w:top w:w="0" w:type="dxa"/>
            <w:left w:w="108" w:type="dxa"/>
            <w:bottom w:w="0" w:type="dxa"/>
            <w:right w:w="108" w:type="dxa"/>
          </w:tblCellMar>
        </w:tblPrEx>
        <w:trPr>
          <w:trHeight w:val="270"/>
        </w:trPr>
        <w:tc>
          <w:tcPr>
            <w:tcW w:w="1080" w:type="dxa"/>
            <w:vMerge/>
            <w:tcBorders>
              <w:top w:val="nil"/>
              <w:left w:val="single" w:sz="4" w:space="0" w:color="auto"/>
              <w:bottom w:val="single" w:sz="4" w:space="0" w:color="000000"/>
              <w:right w:val="single" w:sz="4" w:space="0" w:color="auto"/>
            </w:tcBorders>
            <w:vAlign w:val="center"/>
          </w:tcPr>
          <w:p>
            <w:pPr>
              <w:widowControl/>
              <w:spacing w:line="240" w:lineRule="auto"/>
              <w:ind w:left="0" w:firstLine="0" w:firstLineChars="0"/>
              <w:jc w:val="left"/>
              <w:rPr>
                <w:rFonts w:ascii="Times New Roman" w:eastAsia="宋体" w:hAnsi="Times New Roman" w:cs="宋体"/>
                <w:color w:val="auto"/>
                <w:kern w:val="0"/>
                <w:szCs w:val="21"/>
                <w:highlight w:val="none"/>
              </w:rPr>
            </w:pPr>
          </w:p>
        </w:tc>
        <w:tc>
          <w:tcPr>
            <w:tcW w:w="2540" w:type="dxa"/>
            <w:tcBorders>
              <w:top w:val="nil"/>
              <w:left w:val="nil"/>
              <w:bottom w:val="single" w:sz="4" w:space="0" w:color="auto"/>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2.1GHz（Band1，n1）</w:t>
            </w:r>
          </w:p>
        </w:tc>
        <w:tc>
          <w:tcPr>
            <w:tcW w:w="2080" w:type="dxa"/>
            <w:tcBorders>
              <w:top w:val="nil"/>
              <w:left w:val="nil"/>
              <w:bottom w:val="single" w:sz="4" w:space="0" w:color="auto"/>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3G/4G/5G</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400~550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550~650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700~1100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1200~2200</w:t>
            </w:r>
          </w:p>
        </w:tc>
      </w:tr>
      <w:tr>
        <w:tblPrEx>
          <w:tblW w:w="10180" w:type="dxa"/>
          <w:tblInd w:w="93" w:type="dxa"/>
          <w:tblCellMar>
            <w:top w:w="0" w:type="dxa"/>
            <w:left w:w="108" w:type="dxa"/>
            <w:bottom w:w="0" w:type="dxa"/>
            <w:right w:w="108" w:type="dxa"/>
          </w:tblCellMar>
        </w:tblPrEx>
        <w:trPr>
          <w:trHeight w:val="270"/>
        </w:trPr>
        <w:tc>
          <w:tcPr>
            <w:tcW w:w="1080" w:type="dxa"/>
            <w:vMerge/>
            <w:tcBorders>
              <w:top w:val="nil"/>
              <w:left w:val="single" w:sz="4" w:space="0" w:color="auto"/>
              <w:bottom w:val="single" w:sz="4" w:space="0" w:color="000000"/>
              <w:right w:val="single" w:sz="4" w:space="0" w:color="auto"/>
            </w:tcBorders>
            <w:vAlign w:val="center"/>
          </w:tcPr>
          <w:p>
            <w:pPr>
              <w:widowControl/>
              <w:spacing w:line="240" w:lineRule="auto"/>
              <w:ind w:left="0" w:firstLine="0" w:firstLineChars="0"/>
              <w:jc w:val="left"/>
              <w:rPr>
                <w:rFonts w:ascii="Times New Roman" w:eastAsia="宋体" w:hAnsi="Times New Roman" w:cs="宋体"/>
                <w:color w:val="auto"/>
                <w:kern w:val="0"/>
                <w:szCs w:val="21"/>
                <w:highlight w:val="none"/>
              </w:rPr>
            </w:pPr>
          </w:p>
        </w:tc>
        <w:tc>
          <w:tcPr>
            <w:tcW w:w="2540" w:type="dxa"/>
            <w:tcBorders>
              <w:top w:val="nil"/>
              <w:left w:val="nil"/>
              <w:bottom w:val="single" w:sz="4" w:space="0" w:color="auto"/>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2.3GHz(Band40)</w:t>
            </w:r>
          </w:p>
        </w:tc>
        <w:tc>
          <w:tcPr>
            <w:tcW w:w="2080" w:type="dxa"/>
            <w:tcBorders>
              <w:top w:val="nil"/>
              <w:left w:val="nil"/>
              <w:bottom w:val="single" w:sz="4" w:space="0" w:color="auto"/>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4G</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350~400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450~500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650~1000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1000~1800</w:t>
            </w:r>
          </w:p>
        </w:tc>
      </w:tr>
      <w:tr>
        <w:tblPrEx>
          <w:tblW w:w="10180" w:type="dxa"/>
          <w:tblInd w:w="93" w:type="dxa"/>
          <w:tblCellMar>
            <w:top w:w="0" w:type="dxa"/>
            <w:left w:w="108" w:type="dxa"/>
            <w:bottom w:w="0" w:type="dxa"/>
            <w:right w:w="108" w:type="dxa"/>
          </w:tblCellMar>
        </w:tblPrEx>
        <w:trPr>
          <w:trHeight w:val="270"/>
        </w:trPr>
        <w:tc>
          <w:tcPr>
            <w:tcW w:w="1080" w:type="dxa"/>
            <w:vMerge/>
            <w:tcBorders>
              <w:top w:val="nil"/>
              <w:left w:val="single" w:sz="4" w:space="0" w:color="auto"/>
              <w:bottom w:val="single" w:sz="4" w:space="0" w:color="000000"/>
              <w:right w:val="single" w:sz="4" w:space="0" w:color="auto"/>
            </w:tcBorders>
            <w:vAlign w:val="center"/>
          </w:tcPr>
          <w:p>
            <w:pPr>
              <w:widowControl/>
              <w:spacing w:line="240" w:lineRule="auto"/>
              <w:ind w:left="0" w:firstLine="0" w:firstLineChars="0"/>
              <w:jc w:val="left"/>
              <w:rPr>
                <w:rFonts w:ascii="Times New Roman" w:eastAsia="宋体" w:hAnsi="Times New Roman" w:cs="宋体"/>
                <w:color w:val="auto"/>
                <w:kern w:val="0"/>
                <w:szCs w:val="21"/>
                <w:highlight w:val="none"/>
              </w:rPr>
            </w:pPr>
          </w:p>
        </w:tc>
        <w:tc>
          <w:tcPr>
            <w:tcW w:w="2540" w:type="dxa"/>
            <w:tcBorders>
              <w:top w:val="nil"/>
              <w:left w:val="nil"/>
              <w:bottom w:val="single" w:sz="4" w:space="0" w:color="auto"/>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3.5GHz（n78）</w:t>
            </w:r>
          </w:p>
        </w:tc>
        <w:tc>
          <w:tcPr>
            <w:tcW w:w="2080" w:type="dxa"/>
            <w:tcBorders>
              <w:top w:val="nil"/>
              <w:left w:val="nil"/>
              <w:bottom w:val="single" w:sz="4" w:space="0" w:color="auto"/>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5G</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250~350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350~450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600~900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1000~1400</w:t>
            </w:r>
          </w:p>
        </w:tc>
      </w:tr>
      <w:tr>
        <w:tblPrEx>
          <w:tblW w:w="10180" w:type="dxa"/>
          <w:tblInd w:w="93" w:type="dxa"/>
          <w:tblCellMar>
            <w:top w:w="0" w:type="dxa"/>
            <w:left w:w="108" w:type="dxa"/>
            <w:bottom w:w="0" w:type="dxa"/>
            <w:right w:w="108" w:type="dxa"/>
          </w:tblCellMar>
        </w:tblPrEx>
        <w:trPr>
          <w:trHeight w:val="270"/>
        </w:trPr>
        <w:tc>
          <w:tcPr>
            <w:tcW w:w="1080" w:type="dxa"/>
            <w:vMerge w:val="restart"/>
            <w:tcBorders>
              <w:top w:val="nil"/>
              <w:left w:val="single" w:sz="4" w:space="0" w:color="auto"/>
              <w:bottom w:val="single" w:sz="4" w:space="0" w:color="auto"/>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中国移动</w:t>
            </w:r>
          </w:p>
        </w:tc>
        <w:tc>
          <w:tcPr>
            <w:tcW w:w="2540" w:type="dxa"/>
            <w:tcBorders>
              <w:top w:val="nil"/>
              <w:left w:val="nil"/>
              <w:bottom w:val="single" w:sz="4" w:space="0" w:color="auto"/>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700MHz（n28）</w:t>
            </w:r>
          </w:p>
        </w:tc>
        <w:tc>
          <w:tcPr>
            <w:tcW w:w="2080" w:type="dxa"/>
            <w:tcBorders>
              <w:top w:val="nil"/>
              <w:left w:val="nil"/>
              <w:bottom w:val="single" w:sz="4" w:space="0" w:color="auto"/>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5G</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600~650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700~750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1000~1200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1500~3000</w:t>
            </w:r>
          </w:p>
        </w:tc>
      </w:tr>
      <w:tr>
        <w:tblPrEx>
          <w:tblW w:w="10180" w:type="dxa"/>
          <w:tblInd w:w="93" w:type="dxa"/>
          <w:tblCellMar>
            <w:top w:w="0" w:type="dxa"/>
            <w:left w:w="108" w:type="dxa"/>
            <w:bottom w:w="0" w:type="dxa"/>
            <w:right w:w="108" w:type="dxa"/>
          </w:tblCellMar>
        </w:tblPrEx>
        <w:trPr>
          <w:trHeight w:val="270"/>
        </w:trPr>
        <w:tc>
          <w:tcPr>
            <w:tcW w:w="1080" w:type="dxa"/>
            <w:vMerge/>
            <w:tcBorders>
              <w:top w:val="nil"/>
              <w:left w:val="single" w:sz="4" w:space="0" w:color="auto"/>
              <w:bottom w:val="single" w:sz="4" w:space="0" w:color="auto"/>
              <w:right w:val="single" w:sz="4" w:space="0" w:color="auto"/>
            </w:tcBorders>
            <w:vAlign w:val="center"/>
          </w:tcPr>
          <w:p>
            <w:pPr>
              <w:widowControl/>
              <w:spacing w:line="240" w:lineRule="auto"/>
              <w:ind w:left="0" w:firstLine="0" w:firstLineChars="0"/>
              <w:jc w:val="left"/>
              <w:rPr>
                <w:rFonts w:ascii="Times New Roman" w:eastAsia="宋体" w:hAnsi="Times New Roman" w:cs="宋体"/>
                <w:color w:val="auto"/>
                <w:kern w:val="0"/>
                <w:szCs w:val="21"/>
                <w:highlight w:val="none"/>
              </w:rPr>
            </w:pPr>
          </w:p>
        </w:tc>
        <w:tc>
          <w:tcPr>
            <w:tcW w:w="2540" w:type="dxa"/>
            <w:tcBorders>
              <w:top w:val="nil"/>
              <w:left w:val="nil"/>
              <w:bottom w:val="single" w:sz="4" w:space="0" w:color="auto"/>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900MHz（Band8）</w:t>
            </w:r>
          </w:p>
        </w:tc>
        <w:tc>
          <w:tcPr>
            <w:tcW w:w="2080" w:type="dxa"/>
            <w:tcBorders>
              <w:top w:val="nil"/>
              <w:left w:val="nil"/>
              <w:bottom w:val="single" w:sz="4" w:space="0" w:color="auto"/>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2G/NB-IoT/4G</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600~650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700~750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1000~1200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1500~3000</w:t>
            </w:r>
          </w:p>
        </w:tc>
      </w:tr>
      <w:tr>
        <w:tblPrEx>
          <w:tblW w:w="10180" w:type="dxa"/>
          <w:tblInd w:w="93" w:type="dxa"/>
          <w:tblCellMar>
            <w:top w:w="0" w:type="dxa"/>
            <w:left w:w="108" w:type="dxa"/>
            <w:bottom w:w="0" w:type="dxa"/>
            <w:right w:w="108" w:type="dxa"/>
          </w:tblCellMar>
        </w:tblPrEx>
        <w:trPr>
          <w:trHeight w:val="270"/>
        </w:trPr>
        <w:tc>
          <w:tcPr>
            <w:tcW w:w="1080" w:type="dxa"/>
            <w:vMerge/>
            <w:tcBorders>
              <w:top w:val="nil"/>
              <w:left w:val="single" w:sz="4" w:space="0" w:color="auto"/>
              <w:bottom w:val="single" w:sz="4" w:space="0" w:color="auto"/>
              <w:right w:val="single" w:sz="4" w:space="0" w:color="auto"/>
            </w:tcBorders>
            <w:vAlign w:val="center"/>
          </w:tcPr>
          <w:p>
            <w:pPr>
              <w:widowControl/>
              <w:spacing w:line="240" w:lineRule="auto"/>
              <w:ind w:left="0" w:firstLine="0" w:firstLineChars="0"/>
              <w:jc w:val="left"/>
              <w:rPr>
                <w:rFonts w:ascii="Times New Roman" w:eastAsia="宋体" w:hAnsi="Times New Roman" w:cs="宋体"/>
                <w:color w:val="auto"/>
                <w:kern w:val="0"/>
                <w:szCs w:val="21"/>
                <w:highlight w:val="none"/>
              </w:rPr>
            </w:pPr>
          </w:p>
        </w:tc>
        <w:tc>
          <w:tcPr>
            <w:tcW w:w="2540" w:type="dxa"/>
            <w:tcBorders>
              <w:top w:val="nil"/>
              <w:left w:val="nil"/>
              <w:bottom w:val="single" w:sz="4" w:space="0" w:color="auto"/>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1800MHz</w:t>
            </w:r>
            <w:r>
              <w:rPr>
                <w:rFonts w:ascii="Times New Roman" w:eastAsia="宋体" w:hAnsi="Times New Roman" w:cs="宋体" w:hint="eastAsia"/>
                <w:color w:val="auto"/>
                <w:kern w:val="0"/>
                <w:szCs w:val="21"/>
                <w:highlight w:val="none"/>
                <w:lang w:eastAsia="zh-CN"/>
              </w:rPr>
              <w:t>（</w:t>
            </w:r>
            <w:r>
              <w:rPr>
                <w:rFonts w:ascii="Times New Roman" w:eastAsia="宋体" w:hAnsi="Times New Roman" w:cs="宋体" w:hint="eastAsia"/>
                <w:color w:val="auto"/>
                <w:kern w:val="0"/>
                <w:szCs w:val="21"/>
                <w:highlight w:val="none"/>
              </w:rPr>
              <w:t>Band3</w:t>
            </w:r>
            <w:r>
              <w:rPr>
                <w:rFonts w:ascii="Times New Roman" w:eastAsia="宋体" w:hAnsi="Times New Roman" w:cs="宋体" w:hint="eastAsia"/>
                <w:color w:val="auto"/>
                <w:kern w:val="0"/>
                <w:szCs w:val="21"/>
                <w:highlight w:val="none"/>
                <w:lang w:eastAsia="zh-CN"/>
              </w:rPr>
              <w:t>）</w:t>
            </w:r>
          </w:p>
        </w:tc>
        <w:tc>
          <w:tcPr>
            <w:tcW w:w="2080" w:type="dxa"/>
            <w:tcBorders>
              <w:top w:val="nil"/>
              <w:left w:val="nil"/>
              <w:bottom w:val="single" w:sz="4" w:space="0" w:color="auto"/>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2G/4G</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400~550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550~650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700~1100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1200~2200</w:t>
            </w:r>
          </w:p>
        </w:tc>
      </w:tr>
      <w:tr>
        <w:tblPrEx>
          <w:tblW w:w="10180" w:type="dxa"/>
          <w:tblInd w:w="93" w:type="dxa"/>
          <w:tblCellMar>
            <w:top w:w="0" w:type="dxa"/>
            <w:left w:w="108" w:type="dxa"/>
            <w:bottom w:w="0" w:type="dxa"/>
            <w:right w:w="108" w:type="dxa"/>
          </w:tblCellMar>
        </w:tblPrEx>
        <w:trPr>
          <w:trHeight w:val="270"/>
        </w:trPr>
        <w:tc>
          <w:tcPr>
            <w:tcW w:w="1080" w:type="dxa"/>
            <w:vMerge/>
            <w:tcBorders>
              <w:top w:val="nil"/>
              <w:left w:val="single" w:sz="4" w:space="0" w:color="auto"/>
              <w:bottom w:val="single" w:sz="4" w:space="0" w:color="auto"/>
              <w:right w:val="single" w:sz="4" w:space="0" w:color="auto"/>
            </w:tcBorders>
            <w:vAlign w:val="center"/>
          </w:tcPr>
          <w:p>
            <w:pPr>
              <w:widowControl/>
              <w:spacing w:line="240" w:lineRule="auto"/>
              <w:ind w:left="0" w:firstLine="0" w:firstLineChars="0"/>
              <w:jc w:val="left"/>
              <w:rPr>
                <w:rFonts w:ascii="Times New Roman" w:eastAsia="宋体" w:hAnsi="Times New Roman" w:cs="宋体"/>
                <w:color w:val="auto"/>
                <w:kern w:val="0"/>
                <w:szCs w:val="21"/>
                <w:highlight w:val="none"/>
              </w:rPr>
            </w:pPr>
          </w:p>
        </w:tc>
        <w:tc>
          <w:tcPr>
            <w:tcW w:w="2540" w:type="dxa"/>
            <w:tcBorders>
              <w:top w:val="nil"/>
              <w:left w:val="nil"/>
              <w:bottom w:val="single" w:sz="4" w:space="0" w:color="auto"/>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2GHz（Band34）</w:t>
            </w:r>
          </w:p>
        </w:tc>
        <w:tc>
          <w:tcPr>
            <w:tcW w:w="2080" w:type="dxa"/>
            <w:tcBorders>
              <w:top w:val="nil"/>
              <w:left w:val="nil"/>
              <w:bottom w:val="single" w:sz="4" w:space="0" w:color="auto"/>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3G/4G</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400~550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550~650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700~1100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1200~2200</w:t>
            </w:r>
          </w:p>
        </w:tc>
      </w:tr>
      <w:tr>
        <w:tblPrEx>
          <w:tblW w:w="10180" w:type="dxa"/>
          <w:tblInd w:w="93" w:type="dxa"/>
          <w:tblCellMar>
            <w:top w:w="0" w:type="dxa"/>
            <w:left w:w="108" w:type="dxa"/>
            <w:bottom w:w="0" w:type="dxa"/>
            <w:right w:w="108" w:type="dxa"/>
          </w:tblCellMar>
        </w:tblPrEx>
        <w:trPr>
          <w:trHeight w:val="270"/>
        </w:trPr>
        <w:tc>
          <w:tcPr>
            <w:tcW w:w="1080" w:type="dxa"/>
            <w:vMerge/>
            <w:tcBorders>
              <w:top w:val="nil"/>
              <w:left w:val="single" w:sz="4" w:space="0" w:color="auto"/>
              <w:bottom w:val="single" w:sz="4" w:space="0" w:color="auto"/>
              <w:right w:val="single" w:sz="4" w:space="0" w:color="auto"/>
            </w:tcBorders>
            <w:vAlign w:val="center"/>
          </w:tcPr>
          <w:p>
            <w:pPr>
              <w:widowControl/>
              <w:spacing w:line="240" w:lineRule="auto"/>
              <w:ind w:left="0" w:firstLine="0" w:firstLineChars="0"/>
              <w:jc w:val="left"/>
              <w:rPr>
                <w:rFonts w:ascii="Times New Roman" w:eastAsia="宋体" w:hAnsi="Times New Roman" w:cs="宋体"/>
                <w:color w:val="auto"/>
                <w:kern w:val="0"/>
                <w:szCs w:val="21"/>
                <w:highlight w:val="none"/>
              </w:rPr>
            </w:pPr>
          </w:p>
        </w:tc>
        <w:tc>
          <w:tcPr>
            <w:tcW w:w="2540" w:type="dxa"/>
            <w:tcBorders>
              <w:top w:val="nil"/>
              <w:left w:val="nil"/>
              <w:bottom w:val="single" w:sz="4" w:space="0" w:color="auto"/>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1.9GHz</w:t>
            </w:r>
            <w:r>
              <w:rPr>
                <w:rFonts w:ascii="Times New Roman" w:eastAsia="宋体" w:hAnsi="Times New Roman" w:cs="宋体" w:hint="eastAsia"/>
                <w:color w:val="auto"/>
                <w:kern w:val="0"/>
                <w:szCs w:val="21"/>
                <w:highlight w:val="none"/>
                <w:lang w:eastAsia="zh-CN"/>
              </w:rPr>
              <w:t>（</w:t>
            </w:r>
            <w:r>
              <w:rPr>
                <w:rFonts w:ascii="Times New Roman" w:eastAsia="宋体" w:hAnsi="Times New Roman" w:cs="宋体" w:hint="eastAsia"/>
                <w:color w:val="auto"/>
                <w:kern w:val="0"/>
                <w:szCs w:val="21"/>
                <w:highlight w:val="none"/>
              </w:rPr>
              <w:t>Band39</w:t>
            </w:r>
            <w:r>
              <w:rPr>
                <w:rFonts w:ascii="Times New Roman" w:eastAsia="宋体" w:hAnsi="Times New Roman" w:cs="宋体" w:hint="eastAsia"/>
                <w:color w:val="auto"/>
                <w:kern w:val="0"/>
                <w:szCs w:val="21"/>
                <w:highlight w:val="none"/>
                <w:lang w:eastAsia="zh-CN"/>
              </w:rPr>
              <w:t>）</w:t>
            </w:r>
          </w:p>
        </w:tc>
        <w:tc>
          <w:tcPr>
            <w:tcW w:w="2080" w:type="dxa"/>
            <w:tcBorders>
              <w:top w:val="nil"/>
              <w:left w:val="nil"/>
              <w:bottom w:val="single" w:sz="4" w:space="0" w:color="auto"/>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4G</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400~550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550~650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700~1100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1200~2200</w:t>
            </w:r>
          </w:p>
        </w:tc>
      </w:tr>
      <w:tr>
        <w:tblPrEx>
          <w:tblW w:w="10180" w:type="dxa"/>
          <w:tblInd w:w="93" w:type="dxa"/>
          <w:tblCellMar>
            <w:top w:w="0" w:type="dxa"/>
            <w:left w:w="108" w:type="dxa"/>
            <w:bottom w:w="0" w:type="dxa"/>
            <w:right w:w="108" w:type="dxa"/>
          </w:tblCellMar>
        </w:tblPrEx>
        <w:trPr>
          <w:trHeight w:val="270"/>
        </w:trPr>
        <w:tc>
          <w:tcPr>
            <w:tcW w:w="1080" w:type="dxa"/>
            <w:vMerge/>
            <w:tcBorders>
              <w:top w:val="nil"/>
              <w:left w:val="single" w:sz="4" w:space="0" w:color="auto"/>
              <w:bottom w:val="single" w:sz="4" w:space="0" w:color="auto"/>
              <w:right w:val="single" w:sz="4" w:space="0" w:color="auto"/>
            </w:tcBorders>
            <w:vAlign w:val="center"/>
          </w:tcPr>
          <w:p>
            <w:pPr>
              <w:widowControl/>
              <w:spacing w:line="240" w:lineRule="auto"/>
              <w:ind w:left="0" w:firstLine="0" w:firstLineChars="0"/>
              <w:jc w:val="left"/>
              <w:rPr>
                <w:rFonts w:ascii="Times New Roman" w:eastAsia="宋体" w:hAnsi="Times New Roman" w:cs="宋体"/>
                <w:color w:val="auto"/>
                <w:kern w:val="0"/>
                <w:szCs w:val="21"/>
                <w:highlight w:val="none"/>
              </w:rPr>
            </w:pPr>
          </w:p>
        </w:tc>
        <w:tc>
          <w:tcPr>
            <w:tcW w:w="2540" w:type="dxa"/>
            <w:tcBorders>
              <w:top w:val="nil"/>
              <w:left w:val="nil"/>
              <w:bottom w:val="single" w:sz="4" w:space="0" w:color="auto"/>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2.3GHz(Band40)</w:t>
            </w:r>
          </w:p>
        </w:tc>
        <w:tc>
          <w:tcPr>
            <w:tcW w:w="2080" w:type="dxa"/>
            <w:tcBorders>
              <w:top w:val="nil"/>
              <w:left w:val="nil"/>
              <w:bottom w:val="single" w:sz="4" w:space="0" w:color="auto"/>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4G</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350~400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450~500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650~1000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1000~1800</w:t>
            </w:r>
          </w:p>
        </w:tc>
      </w:tr>
      <w:tr>
        <w:tblPrEx>
          <w:tblW w:w="10180" w:type="dxa"/>
          <w:tblInd w:w="93" w:type="dxa"/>
          <w:tblCellMar>
            <w:top w:w="0" w:type="dxa"/>
            <w:left w:w="108" w:type="dxa"/>
            <w:bottom w:w="0" w:type="dxa"/>
            <w:right w:w="108" w:type="dxa"/>
          </w:tblCellMar>
        </w:tblPrEx>
        <w:trPr>
          <w:trHeight w:val="270"/>
        </w:trPr>
        <w:tc>
          <w:tcPr>
            <w:tcW w:w="1080" w:type="dxa"/>
            <w:vMerge/>
            <w:tcBorders>
              <w:top w:val="nil"/>
              <w:left w:val="single" w:sz="4" w:space="0" w:color="auto"/>
              <w:bottom w:val="single" w:sz="4" w:space="0" w:color="auto"/>
              <w:right w:val="single" w:sz="4" w:space="0" w:color="auto"/>
            </w:tcBorders>
            <w:vAlign w:val="center"/>
          </w:tcPr>
          <w:p>
            <w:pPr>
              <w:widowControl/>
              <w:spacing w:line="240" w:lineRule="auto"/>
              <w:ind w:left="0" w:firstLine="0" w:firstLineChars="0"/>
              <w:jc w:val="left"/>
              <w:rPr>
                <w:rFonts w:ascii="Times New Roman" w:eastAsia="宋体" w:hAnsi="Times New Roman" w:cs="宋体"/>
                <w:color w:val="auto"/>
                <w:kern w:val="0"/>
                <w:szCs w:val="21"/>
                <w:highlight w:val="none"/>
              </w:rPr>
            </w:pPr>
          </w:p>
        </w:tc>
        <w:tc>
          <w:tcPr>
            <w:tcW w:w="2540" w:type="dxa"/>
            <w:tcBorders>
              <w:top w:val="nil"/>
              <w:left w:val="nil"/>
              <w:bottom w:val="single" w:sz="4" w:space="0" w:color="auto"/>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2.6GHz（Band41,n41）</w:t>
            </w:r>
          </w:p>
        </w:tc>
        <w:tc>
          <w:tcPr>
            <w:tcW w:w="2080" w:type="dxa"/>
            <w:tcBorders>
              <w:top w:val="nil"/>
              <w:left w:val="nil"/>
              <w:bottom w:val="single" w:sz="4" w:space="0" w:color="auto"/>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4G/5G</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350~450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550~650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1000~1400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1600~2100</w:t>
            </w:r>
          </w:p>
        </w:tc>
      </w:tr>
      <w:tr>
        <w:tblPrEx>
          <w:tblW w:w="10180" w:type="dxa"/>
          <w:tblInd w:w="93" w:type="dxa"/>
          <w:tblCellMar>
            <w:top w:w="0" w:type="dxa"/>
            <w:left w:w="108" w:type="dxa"/>
            <w:bottom w:w="0" w:type="dxa"/>
            <w:right w:w="108" w:type="dxa"/>
          </w:tblCellMar>
        </w:tblPrEx>
        <w:trPr>
          <w:trHeight w:val="270"/>
        </w:trPr>
        <w:tc>
          <w:tcPr>
            <w:tcW w:w="1080" w:type="dxa"/>
            <w:vMerge/>
            <w:tcBorders>
              <w:top w:val="nil"/>
              <w:left w:val="single" w:sz="4" w:space="0" w:color="auto"/>
              <w:bottom w:val="single" w:sz="4" w:space="0" w:color="auto"/>
              <w:right w:val="single" w:sz="4" w:space="0" w:color="auto"/>
            </w:tcBorders>
            <w:vAlign w:val="center"/>
          </w:tcPr>
          <w:p>
            <w:pPr>
              <w:widowControl/>
              <w:spacing w:line="240" w:lineRule="auto"/>
              <w:ind w:left="0" w:firstLine="0" w:firstLineChars="0"/>
              <w:jc w:val="left"/>
              <w:rPr>
                <w:rFonts w:ascii="Times New Roman" w:eastAsia="宋体" w:hAnsi="Times New Roman" w:cs="宋体"/>
                <w:color w:val="auto"/>
                <w:kern w:val="0"/>
                <w:szCs w:val="21"/>
                <w:highlight w:val="none"/>
              </w:rPr>
            </w:pPr>
          </w:p>
        </w:tc>
        <w:tc>
          <w:tcPr>
            <w:tcW w:w="2540" w:type="dxa"/>
            <w:tcBorders>
              <w:top w:val="nil"/>
              <w:left w:val="nil"/>
              <w:bottom w:val="single" w:sz="4" w:space="0" w:color="auto"/>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4.9GHz(n79)</w:t>
            </w:r>
          </w:p>
        </w:tc>
        <w:tc>
          <w:tcPr>
            <w:tcW w:w="2080" w:type="dxa"/>
            <w:tcBorders>
              <w:top w:val="nil"/>
              <w:left w:val="nil"/>
              <w:bottom w:val="single" w:sz="4" w:space="0" w:color="auto"/>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5G</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200~300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300~400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500~600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800~1000</w:t>
            </w:r>
          </w:p>
        </w:tc>
      </w:tr>
      <w:tr>
        <w:tblPrEx>
          <w:tblW w:w="10180" w:type="dxa"/>
          <w:tblInd w:w="93" w:type="dxa"/>
          <w:tblCellMar>
            <w:top w:w="0" w:type="dxa"/>
            <w:left w:w="108" w:type="dxa"/>
            <w:bottom w:w="0" w:type="dxa"/>
            <w:right w:w="108" w:type="dxa"/>
          </w:tblCellMar>
        </w:tblPrEx>
        <w:trPr>
          <w:trHeight w:val="285"/>
        </w:trPr>
        <w:tc>
          <w:tcPr>
            <w:tcW w:w="1080" w:type="dxa"/>
            <w:tcBorders>
              <w:top w:val="nil"/>
              <w:left w:val="single" w:sz="4" w:space="0" w:color="auto"/>
              <w:bottom w:val="single" w:sz="4" w:space="0" w:color="auto"/>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中国广电</w:t>
            </w:r>
          </w:p>
        </w:tc>
        <w:tc>
          <w:tcPr>
            <w:tcW w:w="2540" w:type="dxa"/>
            <w:tcBorders>
              <w:top w:val="nil"/>
              <w:left w:val="nil"/>
              <w:bottom w:val="single" w:sz="4" w:space="0" w:color="auto"/>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700MHz（n28）</w:t>
            </w:r>
          </w:p>
        </w:tc>
        <w:tc>
          <w:tcPr>
            <w:tcW w:w="2080" w:type="dxa"/>
            <w:tcBorders>
              <w:top w:val="nil"/>
              <w:left w:val="nil"/>
              <w:bottom w:val="single" w:sz="4" w:space="0" w:color="auto"/>
              <w:right w:val="single" w:sz="4" w:space="0" w:color="auto"/>
            </w:tcBorders>
            <w:shd w:val="clear" w:color="auto" w:fill="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5G</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600~650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700~750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1000~1200</w:t>
            </w:r>
          </w:p>
        </w:tc>
        <w:tc>
          <w:tcPr>
            <w:tcW w:w="1120" w:type="dxa"/>
            <w:tcBorders>
              <w:top w:val="nil"/>
              <w:left w:val="nil"/>
              <w:bottom w:val="single" w:sz="4" w:space="0" w:color="auto"/>
              <w:right w:val="single" w:sz="4" w:space="0" w:color="auto"/>
            </w:tcBorders>
            <w:shd w:val="clear" w:color="auto" w:fill="auto"/>
            <w:noWrap/>
            <w:vAlign w:val="bottom"/>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1500~3000</w:t>
            </w:r>
          </w:p>
        </w:tc>
      </w:tr>
    </w:tbl>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当场景内存量站址不满足5G覆盖站间距要求时，应积极获取当地社会资源，根据5G站址布局原则进行新建站规划。不同应用场景类型和业务需求下的参考站间距如下：</w:t>
      </w:r>
    </w:p>
    <w:p>
      <w:pPr>
        <w:widowControl/>
        <w:spacing w:line="240" w:lineRule="auto"/>
        <w:ind w:left="0" w:firstLine="422"/>
        <w:jc w:val="center"/>
        <w:rPr>
          <w:rFonts w:ascii="Times New Roman" w:eastAsia="宋体" w:hAnsi="Times New Roman"/>
          <w:b/>
          <w:bCs/>
          <w:color w:val="auto"/>
          <w:szCs w:val="21"/>
          <w:highlight w:val="none"/>
        </w:rPr>
      </w:pPr>
      <w:r>
        <w:rPr>
          <w:rFonts w:ascii="Times New Roman" w:eastAsia="宋体" w:hAnsi="Times New Roman" w:hint="eastAsia"/>
          <w:b/>
          <w:bCs/>
          <w:color w:val="auto"/>
          <w:szCs w:val="21"/>
          <w:highlight w:val="none"/>
        </w:rPr>
        <w:t>表5</w:t>
      </w:r>
      <w:r>
        <w:rPr>
          <w:rFonts w:ascii="Times New Roman" w:eastAsia="宋体" w:hAnsi="Times New Roman"/>
          <w:b/>
          <w:bCs/>
          <w:color w:val="auto"/>
          <w:szCs w:val="21"/>
          <w:highlight w:val="none"/>
        </w:rPr>
        <w:t>-2</w:t>
      </w:r>
      <w:r>
        <w:rPr>
          <w:rFonts w:ascii="Times New Roman" w:eastAsia="宋体" w:hAnsi="Times New Roman" w:hint="eastAsia"/>
          <w:b/>
          <w:bCs/>
          <w:color w:val="auto"/>
          <w:szCs w:val="21"/>
          <w:highlight w:val="none"/>
        </w:rPr>
        <w:t xml:space="preserve">  5G不同应用场景及业务需求典型站间距统计表</w:t>
      </w:r>
    </w:p>
    <w:tbl>
      <w:tblPr>
        <w:tblStyle w:val="TableNormal"/>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4" w:space="0" w:color="000000"/>
        </w:tblBorders>
        <w:tblCellMar>
          <w:top w:w="0" w:type="dxa"/>
          <w:left w:w="0" w:type="dxa"/>
          <w:bottom w:w="0" w:type="dxa"/>
          <w:right w:w="0" w:type="dxa"/>
        </w:tblCellMar>
      </w:tblPr>
      <w:tblGrid>
        <w:gridCol w:w="2513"/>
        <w:gridCol w:w="1959"/>
        <w:gridCol w:w="4014"/>
        <w:gridCol w:w="1686"/>
      </w:tblGrid>
      <w:tr>
        <w:tblPrEx>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4" w:space="0" w:color="000000"/>
          </w:tblBorders>
          <w:tblCellMar>
            <w:top w:w="0" w:type="dxa"/>
            <w:left w:w="0" w:type="dxa"/>
            <w:bottom w:w="0" w:type="dxa"/>
            <w:right w:w="0" w:type="dxa"/>
          </w:tblCellMar>
        </w:tblPrEx>
        <w:trPr>
          <w:tblHeader/>
          <w:jc w:val="center"/>
        </w:trPr>
        <w:tc>
          <w:tcPr>
            <w:tcW w:w="0" w:type="auto"/>
            <w:tcMar>
              <w:top w:w="17" w:type="dxa"/>
              <w:left w:w="17" w:type="dxa"/>
              <w:right w:w="17" w:type="dxa"/>
            </w:tcMar>
            <w:vAlign w:val="center"/>
          </w:tcPr>
          <w:p>
            <w:pPr>
              <w:widowControl/>
              <w:spacing w:line="240" w:lineRule="auto"/>
              <w:ind w:left="0" w:firstLine="0" w:firstLineChars="0"/>
              <w:jc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网格类型</w:t>
            </w:r>
          </w:p>
        </w:tc>
        <w:tc>
          <w:tcPr>
            <w:tcW w:w="0" w:type="auto"/>
            <w:vAlign w:val="center"/>
          </w:tcPr>
          <w:p>
            <w:pPr>
              <w:widowControl/>
              <w:spacing w:line="240" w:lineRule="auto"/>
              <w:ind w:left="0" w:firstLine="0" w:firstLineChars="0"/>
              <w:jc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主要应用</w:t>
            </w:r>
          </w:p>
        </w:tc>
        <w:tc>
          <w:tcPr>
            <w:tcW w:w="0" w:type="auto"/>
            <w:vAlign w:val="center"/>
          </w:tcPr>
          <w:p>
            <w:pPr>
              <w:widowControl/>
              <w:spacing w:line="240" w:lineRule="auto"/>
              <w:ind w:left="0" w:firstLine="0" w:firstLineChars="0"/>
              <w:jc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主要业务需求</w:t>
            </w:r>
          </w:p>
        </w:tc>
        <w:tc>
          <w:tcPr>
            <w:tcW w:w="0" w:type="auto"/>
            <w:vAlign w:val="center"/>
          </w:tcPr>
          <w:p>
            <w:pPr>
              <w:widowControl/>
              <w:spacing w:line="240" w:lineRule="auto"/>
              <w:ind w:left="0" w:firstLine="0" w:firstLineChars="0"/>
              <w:jc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站间距（米）</w:t>
            </w:r>
          </w:p>
        </w:tc>
      </w:tr>
      <w:tr>
        <w:tblPrEx>
          <w:tblW w:w="5000" w:type="pct"/>
          <w:jc w:val="center"/>
          <w:tblCellMar>
            <w:top w:w="0" w:type="dxa"/>
            <w:left w:w="0" w:type="dxa"/>
            <w:bottom w:w="0" w:type="dxa"/>
            <w:right w:w="0" w:type="dxa"/>
          </w:tblCellMar>
        </w:tblPrEx>
        <w:trPr>
          <w:jc w:val="center"/>
        </w:trPr>
        <w:tc>
          <w:tcPr>
            <w:tcW w:w="0" w:type="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大型商业</w:t>
            </w:r>
            <w:r>
              <w:rPr>
                <w:rFonts w:ascii="Times New Roman" w:eastAsia="宋体" w:hAnsi="Times New Roman" w:cs="宋体" w:hint="eastAsia"/>
                <w:color w:val="auto"/>
                <w:kern w:val="0"/>
                <w:szCs w:val="21"/>
                <w:highlight w:val="none"/>
                <w:lang w:eastAsia="zh-CN"/>
              </w:rPr>
              <w:t>（</w:t>
            </w:r>
            <w:r>
              <w:rPr>
                <w:rFonts w:ascii="Times New Roman" w:eastAsia="宋体" w:hAnsi="Times New Roman" w:cs="宋体" w:hint="eastAsia"/>
                <w:color w:val="auto"/>
                <w:kern w:val="0"/>
                <w:szCs w:val="21"/>
                <w:highlight w:val="none"/>
                <w:lang w:val="en-US" w:eastAsia="zh-CN"/>
              </w:rPr>
              <w:t>服</w:t>
            </w:r>
            <w:r>
              <w:rPr>
                <w:rFonts w:ascii="Times New Roman" w:eastAsia="宋体" w:hAnsi="Times New Roman" w:cs="宋体" w:hint="eastAsia"/>
                <w:color w:val="auto"/>
                <w:kern w:val="0"/>
                <w:szCs w:val="21"/>
                <w:highlight w:val="none"/>
              </w:rPr>
              <w:t>务</w:t>
            </w:r>
            <w:r>
              <w:rPr>
                <w:rFonts w:ascii="Times New Roman" w:eastAsia="宋体" w:hAnsi="Times New Roman" w:cs="宋体" w:hint="eastAsia"/>
                <w:color w:val="auto"/>
                <w:kern w:val="0"/>
                <w:szCs w:val="21"/>
                <w:highlight w:val="none"/>
                <w:lang w:eastAsia="zh-CN"/>
              </w:rPr>
              <w:t>）</w:t>
            </w:r>
            <w:r>
              <w:rPr>
                <w:rFonts w:ascii="Times New Roman" w:eastAsia="宋体" w:hAnsi="Times New Roman" w:cs="宋体" w:hint="eastAsia"/>
                <w:color w:val="auto"/>
                <w:kern w:val="0"/>
                <w:szCs w:val="21"/>
                <w:highlight w:val="none"/>
              </w:rPr>
              <w:t>区</w:t>
            </w:r>
          </w:p>
        </w:tc>
        <w:tc>
          <w:tcPr>
            <w:tcW w:w="0" w:type="auto"/>
            <w:vMerge w:val="restart"/>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增强移动宽带</w:t>
            </w:r>
          </w:p>
        </w:tc>
        <w:tc>
          <w:tcPr>
            <w:tcW w:w="0" w:type="auto"/>
            <w:vMerge w:val="restart"/>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基础数据业务、VR、超高清视频</w:t>
            </w:r>
          </w:p>
        </w:tc>
        <w:tc>
          <w:tcPr>
            <w:tcW w:w="0" w:type="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250-300</w:t>
            </w:r>
          </w:p>
        </w:tc>
      </w:tr>
      <w:tr>
        <w:tblPrEx>
          <w:tblW w:w="5000" w:type="pct"/>
          <w:jc w:val="center"/>
          <w:tblCellMar>
            <w:top w:w="0" w:type="dxa"/>
            <w:left w:w="0" w:type="dxa"/>
            <w:bottom w:w="0" w:type="dxa"/>
            <w:right w:w="0" w:type="dxa"/>
          </w:tblCellMar>
        </w:tblPrEx>
        <w:trPr>
          <w:jc w:val="center"/>
        </w:trPr>
        <w:tc>
          <w:tcPr>
            <w:tcW w:w="0" w:type="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大型景区</w:t>
            </w:r>
          </w:p>
        </w:tc>
        <w:tc>
          <w:tcPr>
            <w:tcW w:w="0" w:type="auto"/>
            <w:vMerge/>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p>
        </w:tc>
        <w:tc>
          <w:tcPr>
            <w:tcW w:w="0" w:type="auto"/>
            <w:vMerge/>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p>
        </w:tc>
        <w:tc>
          <w:tcPr>
            <w:tcW w:w="0" w:type="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300-400</w:t>
            </w:r>
          </w:p>
        </w:tc>
      </w:tr>
      <w:tr>
        <w:tblPrEx>
          <w:tblW w:w="5000" w:type="pct"/>
          <w:jc w:val="center"/>
          <w:tblCellMar>
            <w:top w:w="0" w:type="dxa"/>
            <w:left w:w="0" w:type="dxa"/>
            <w:bottom w:w="0" w:type="dxa"/>
            <w:right w:w="0" w:type="dxa"/>
          </w:tblCellMar>
        </w:tblPrEx>
        <w:trPr>
          <w:jc w:val="center"/>
        </w:trPr>
        <w:tc>
          <w:tcPr>
            <w:tcW w:w="0" w:type="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开发区（工业园）</w:t>
            </w:r>
          </w:p>
        </w:tc>
        <w:tc>
          <w:tcPr>
            <w:tcW w:w="0" w:type="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海量机器类通信</w:t>
            </w:r>
          </w:p>
        </w:tc>
        <w:tc>
          <w:tcPr>
            <w:tcW w:w="0" w:type="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智能监控</w:t>
            </w:r>
          </w:p>
        </w:tc>
        <w:tc>
          <w:tcPr>
            <w:tcW w:w="0" w:type="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350-450</w:t>
            </w:r>
          </w:p>
        </w:tc>
      </w:tr>
      <w:tr>
        <w:tblPrEx>
          <w:tblW w:w="5000" w:type="pct"/>
          <w:jc w:val="center"/>
          <w:tblCellMar>
            <w:top w:w="0" w:type="dxa"/>
            <w:left w:w="0" w:type="dxa"/>
            <w:bottom w:w="0" w:type="dxa"/>
            <w:right w:w="0" w:type="dxa"/>
          </w:tblCellMar>
        </w:tblPrEx>
        <w:trPr>
          <w:jc w:val="center"/>
        </w:trPr>
        <w:tc>
          <w:tcPr>
            <w:tcW w:w="0" w:type="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大学城（大型校园）</w:t>
            </w:r>
          </w:p>
        </w:tc>
        <w:tc>
          <w:tcPr>
            <w:tcW w:w="0" w:type="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增强移动宽带</w:t>
            </w:r>
          </w:p>
        </w:tc>
        <w:tc>
          <w:tcPr>
            <w:tcW w:w="0" w:type="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基础数据业务、VR、超高清视频</w:t>
            </w:r>
          </w:p>
        </w:tc>
        <w:tc>
          <w:tcPr>
            <w:tcW w:w="0" w:type="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250-300</w:t>
            </w:r>
          </w:p>
        </w:tc>
      </w:tr>
      <w:tr>
        <w:tblPrEx>
          <w:tblW w:w="5000" w:type="pct"/>
          <w:jc w:val="center"/>
          <w:tblCellMar>
            <w:top w:w="0" w:type="dxa"/>
            <w:left w:w="0" w:type="dxa"/>
            <w:bottom w:w="0" w:type="dxa"/>
            <w:right w:w="0" w:type="dxa"/>
          </w:tblCellMar>
        </w:tblPrEx>
        <w:trPr>
          <w:jc w:val="center"/>
        </w:trPr>
        <w:tc>
          <w:tcPr>
            <w:tcW w:w="0" w:type="auto"/>
            <w:vMerge w:val="restart"/>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一般社区</w:t>
            </w:r>
          </w:p>
        </w:tc>
        <w:tc>
          <w:tcPr>
            <w:tcW w:w="0" w:type="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海量机器类通信</w:t>
            </w:r>
          </w:p>
        </w:tc>
        <w:tc>
          <w:tcPr>
            <w:tcW w:w="0" w:type="auto"/>
            <w:vMerge w:val="restart"/>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智能抄表、智能停车、监控类</w:t>
            </w:r>
          </w:p>
        </w:tc>
        <w:tc>
          <w:tcPr>
            <w:tcW w:w="0" w:type="auto"/>
            <w:vMerge w:val="restart"/>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300-400</w:t>
            </w:r>
          </w:p>
        </w:tc>
      </w:tr>
      <w:tr>
        <w:tblPrEx>
          <w:tblW w:w="5000" w:type="pct"/>
          <w:jc w:val="center"/>
          <w:tblCellMar>
            <w:top w:w="0" w:type="dxa"/>
            <w:left w:w="0" w:type="dxa"/>
            <w:bottom w:w="0" w:type="dxa"/>
            <w:right w:w="0" w:type="dxa"/>
          </w:tblCellMar>
        </w:tblPrEx>
        <w:trPr>
          <w:jc w:val="center"/>
        </w:trPr>
        <w:tc>
          <w:tcPr>
            <w:tcW w:w="0" w:type="auto"/>
            <w:vMerge/>
            <w:vAlign w:val="center"/>
          </w:tcPr>
          <w:p>
            <w:pPr>
              <w:widowControl/>
              <w:spacing w:line="240" w:lineRule="auto"/>
              <w:ind w:left="0" w:firstLine="420"/>
              <w:rPr>
                <w:rFonts w:ascii="Times New Roman" w:eastAsia="宋体" w:hAnsi="Times New Roman"/>
                <w:color w:val="auto"/>
                <w:szCs w:val="21"/>
                <w:highlight w:val="none"/>
              </w:rPr>
            </w:pPr>
          </w:p>
        </w:tc>
        <w:tc>
          <w:tcPr>
            <w:tcW w:w="0" w:type="auto"/>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高可靠、低时延</w:t>
            </w:r>
          </w:p>
        </w:tc>
        <w:tc>
          <w:tcPr>
            <w:tcW w:w="0" w:type="auto"/>
            <w:vMerge/>
            <w:vAlign w:val="center"/>
          </w:tcPr>
          <w:p>
            <w:pPr>
              <w:widowControl/>
              <w:spacing w:line="240" w:lineRule="auto"/>
              <w:ind w:left="0" w:firstLine="0" w:firstLineChars="0"/>
              <w:jc w:val="center"/>
              <w:rPr>
                <w:rFonts w:ascii="Times New Roman" w:eastAsia="宋体" w:hAnsi="Times New Roman" w:cs="宋体"/>
                <w:color w:val="auto"/>
                <w:kern w:val="0"/>
                <w:szCs w:val="21"/>
                <w:highlight w:val="none"/>
              </w:rPr>
            </w:pPr>
          </w:p>
        </w:tc>
        <w:tc>
          <w:tcPr>
            <w:tcW w:w="0" w:type="auto"/>
            <w:vMerge/>
            <w:vAlign w:val="center"/>
          </w:tcPr>
          <w:p>
            <w:pPr>
              <w:widowControl/>
              <w:spacing w:line="240" w:lineRule="auto"/>
              <w:ind w:left="0" w:firstLine="420"/>
              <w:rPr>
                <w:rFonts w:ascii="Times New Roman" w:eastAsia="宋体" w:hAnsi="Times New Roman"/>
                <w:color w:val="auto"/>
                <w:szCs w:val="21"/>
                <w:highlight w:val="none"/>
              </w:rPr>
            </w:pPr>
          </w:p>
        </w:tc>
      </w:tr>
    </w:tbl>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结合上述规划原则和规划方法，充分考虑5G网络异构化组网的特征，基站站址形态逐渐由“高、大、远、疏”的传统模式转变为“低、小、近、密”的综合覆盖模式，形成存量宏站为骨架、道路杆塔为脉络、微型杆塔为拓展的5G城区站址资源库。</w:t>
      </w:r>
    </w:p>
    <w:p>
      <w:pPr>
        <w:widowControl/>
        <w:spacing w:line="240" w:lineRule="auto"/>
        <w:ind w:left="0" w:firstLine="480"/>
        <w:rPr>
          <w:rFonts w:ascii="Times New Roman" w:eastAsia="宋体" w:hAnsi="Times New Roman" w:hint="default"/>
          <w:color w:val="auto"/>
          <w:sz w:val="24"/>
          <w:highlight w:val="none"/>
          <w:lang w:val="en-US" w:eastAsia="zh-CN"/>
        </w:rPr>
      </w:pPr>
      <w:r>
        <w:rPr>
          <w:rFonts w:ascii="Times New Roman" w:eastAsia="宋体" w:hAnsi="Times New Roman" w:hint="eastAsia"/>
          <w:color w:val="auto"/>
          <w:sz w:val="24"/>
          <w:highlight w:val="none"/>
        </w:rPr>
        <w:t>（1）以宏站为骨架：在满足无线覆盖要求的前提下，实行总量控制制度，按照宏基站密度分区与覆盖范围合理选择站址，实现目标区域的有效覆盖。基站设置要满足城市规划控制与引导要求，选址、结构、塔高等应与周边建筑、空间环境相协调</w:t>
      </w:r>
      <w:r>
        <w:rPr>
          <w:rFonts w:ascii="Times New Roman" w:eastAsia="宋体" w:hAnsi="Times New Roman" w:hint="eastAsia"/>
          <w:color w:val="auto"/>
          <w:sz w:val="24"/>
          <w:highlight w:val="none"/>
          <w:lang w:eastAsia="zh-CN"/>
        </w:rPr>
        <w:t>，依法依规建设沿公路通信铁塔，衔接预留将来道路改扩建空间。</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2）以道路杆塔为脉络：原则上铁塔选型以美化路灯杆为主，监控杆、广告牌、公交站台等社会杆塔资源为辅。结合站址布局情况，美化路灯杆优先部署于城市主干道旁，监控杆主要部署于站距密集、街道狭窄的城市道路旁。</w:t>
      </w: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rPr>
        <w:t>（3）以微型杆塔为拓展：充分考虑密集城区人口、建筑物分布及业务特征，灵活采用楼面抱杆安装、地面杆塔安装、建筑壁挂安装及室内分布覆盖等覆盖方式进行5G网络的拓展覆盖。</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（4）密度分区与设置标准如下：</w:t>
      </w:r>
    </w:p>
    <w:p>
      <w:pPr>
        <w:widowControl/>
        <w:spacing w:line="240" w:lineRule="auto"/>
        <w:ind w:left="0" w:firstLine="422"/>
        <w:jc w:val="center"/>
        <w:rPr>
          <w:rFonts w:ascii="Times New Roman" w:eastAsia="宋体" w:hAnsi="Times New Roman"/>
          <w:b/>
          <w:bCs/>
          <w:color w:val="auto"/>
          <w:szCs w:val="21"/>
          <w:highlight w:val="none"/>
        </w:rPr>
      </w:pPr>
      <w:r>
        <w:rPr>
          <w:rFonts w:ascii="Times New Roman" w:eastAsia="宋体" w:hAnsi="Times New Roman" w:hint="eastAsia"/>
          <w:b/>
          <w:bCs/>
          <w:color w:val="auto"/>
          <w:szCs w:val="21"/>
          <w:highlight w:val="none"/>
        </w:rPr>
        <w:t>表5</w:t>
      </w:r>
      <w:r>
        <w:rPr>
          <w:rFonts w:ascii="Times New Roman" w:eastAsia="宋体" w:hAnsi="Times New Roman"/>
          <w:b/>
          <w:bCs/>
          <w:color w:val="auto"/>
          <w:szCs w:val="21"/>
          <w:highlight w:val="none"/>
        </w:rPr>
        <w:t>-3</w:t>
      </w:r>
      <w:r>
        <w:rPr>
          <w:rFonts w:ascii="Times New Roman" w:eastAsia="宋体" w:hAnsi="Times New Roman" w:hint="eastAsia"/>
          <w:b/>
          <w:bCs/>
          <w:color w:val="auto"/>
          <w:szCs w:val="21"/>
          <w:highlight w:val="none"/>
        </w:rPr>
        <w:t xml:space="preserve">  各类分区站间距布局原则一览表</w:t>
      </w:r>
    </w:p>
    <w:tbl>
      <w:tblPr>
        <w:tblStyle w:val="TableNormal"/>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4" w:space="0" w:color="000000"/>
        </w:tblBorders>
        <w:tblCellMar>
          <w:top w:w="0" w:type="dxa"/>
          <w:left w:w="0" w:type="dxa"/>
          <w:bottom w:w="0" w:type="dxa"/>
          <w:right w:w="0" w:type="dxa"/>
        </w:tblCellMar>
      </w:tblPr>
      <w:tblGrid>
        <w:gridCol w:w="695"/>
        <w:gridCol w:w="1137"/>
        <w:gridCol w:w="3569"/>
        <w:gridCol w:w="2980"/>
        <w:gridCol w:w="1801"/>
      </w:tblGrid>
      <w:tr>
        <w:tblPrEx>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4" w:space="0" w:color="000000"/>
          </w:tblBorders>
          <w:tblCellMar>
            <w:top w:w="0" w:type="dxa"/>
            <w:left w:w="0" w:type="dxa"/>
            <w:bottom w:w="0" w:type="dxa"/>
            <w:right w:w="0" w:type="dxa"/>
          </w:tblCellMar>
        </w:tblPrEx>
        <w:trPr>
          <w:tblHeader/>
          <w:jc w:val="center"/>
        </w:trPr>
        <w:tc>
          <w:tcPr>
            <w:tcW w:w="0" w:type="auto"/>
            <w:gridSpan w:val="2"/>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密度分区</w:t>
            </w:r>
          </w:p>
        </w:tc>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主要用地功能</w:t>
            </w:r>
          </w:p>
        </w:tc>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基站设置密度（平方公里/座）</w:t>
            </w:r>
          </w:p>
        </w:tc>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基站站间距（m）</w:t>
            </w:r>
          </w:p>
        </w:tc>
      </w:tr>
      <w:tr>
        <w:tblPrEx>
          <w:tblW w:w="5000" w:type="pct"/>
          <w:jc w:val="center"/>
          <w:tblCellMar>
            <w:top w:w="0" w:type="dxa"/>
            <w:left w:w="0" w:type="dxa"/>
            <w:bottom w:w="0" w:type="dxa"/>
            <w:right w:w="0" w:type="dxa"/>
          </w:tblCellMar>
        </w:tblPrEx>
        <w:trPr>
          <w:jc w:val="center"/>
        </w:trPr>
        <w:tc>
          <w:tcPr>
            <w:tcW w:w="0" w:type="auto"/>
            <w:vMerge w:val="restart"/>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宏基站</w:t>
            </w:r>
          </w:p>
        </w:tc>
        <w:tc>
          <w:tcPr>
            <w:tcW w:w="0" w:type="auto"/>
            <w:vMerge w:val="restart"/>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密集区</w:t>
            </w:r>
          </w:p>
        </w:tc>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公共管理与公共服务用地</w:t>
            </w:r>
          </w:p>
        </w:tc>
        <w:tc>
          <w:tcPr>
            <w:tcW w:w="0" w:type="auto"/>
            <w:vMerge w:val="restart"/>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15</w:t>
            </w:r>
          </w:p>
        </w:tc>
        <w:tc>
          <w:tcPr>
            <w:tcW w:w="0" w:type="auto"/>
            <w:vMerge w:val="restart"/>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150-250</w:t>
            </w:r>
          </w:p>
        </w:tc>
      </w:tr>
      <w:tr>
        <w:tblPrEx>
          <w:tblW w:w="5000" w:type="pct"/>
          <w:jc w:val="center"/>
          <w:tblCellMar>
            <w:top w:w="0" w:type="dxa"/>
            <w:left w:w="0" w:type="dxa"/>
            <w:bottom w:w="0" w:type="dxa"/>
            <w:right w:w="0" w:type="dxa"/>
          </w:tblCellMar>
        </w:tblPrEx>
        <w:trPr>
          <w:jc w:val="center"/>
        </w:trPr>
        <w:tc>
          <w:tcPr>
            <w:tcW w:w="0" w:type="auto"/>
            <w:vMerge/>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p>
        </w:tc>
        <w:tc>
          <w:tcPr>
            <w:tcW w:w="0" w:type="auto"/>
            <w:vMerge/>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p>
        </w:tc>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市级、区级商业服务业设施用地</w:t>
            </w:r>
          </w:p>
        </w:tc>
        <w:tc>
          <w:tcPr>
            <w:tcW w:w="0" w:type="auto"/>
            <w:vMerge/>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p>
        </w:tc>
        <w:tc>
          <w:tcPr>
            <w:tcW w:w="0" w:type="auto"/>
            <w:vMerge/>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p>
        </w:tc>
      </w:tr>
      <w:tr>
        <w:tblPrEx>
          <w:tblW w:w="5000" w:type="pct"/>
          <w:jc w:val="center"/>
          <w:tblCellMar>
            <w:top w:w="0" w:type="dxa"/>
            <w:left w:w="0" w:type="dxa"/>
            <w:bottom w:w="0" w:type="dxa"/>
            <w:right w:w="0" w:type="dxa"/>
          </w:tblCellMar>
        </w:tblPrEx>
        <w:trPr>
          <w:jc w:val="center"/>
        </w:trPr>
        <w:tc>
          <w:tcPr>
            <w:tcW w:w="0" w:type="auto"/>
            <w:vMerge/>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p>
        </w:tc>
        <w:tc>
          <w:tcPr>
            <w:tcW w:w="0" w:type="auto"/>
            <w:vMerge/>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p>
        </w:tc>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客运交通枢纽</w:t>
            </w:r>
          </w:p>
        </w:tc>
        <w:tc>
          <w:tcPr>
            <w:tcW w:w="0" w:type="auto"/>
            <w:vMerge/>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p>
        </w:tc>
        <w:tc>
          <w:tcPr>
            <w:tcW w:w="0" w:type="auto"/>
            <w:vMerge/>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p>
        </w:tc>
      </w:tr>
      <w:tr>
        <w:tblPrEx>
          <w:tblW w:w="5000" w:type="pct"/>
          <w:jc w:val="center"/>
          <w:tblCellMar>
            <w:top w:w="0" w:type="dxa"/>
            <w:left w:w="0" w:type="dxa"/>
            <w:bottom w:w="0" w:type="dxa"/>
            <w:right w:w="0" w:type="dxa"/>
          </w:tblCellMar>
        </w:tblPrEx>
        <w:trPr>
          <w:jc w:val="center"/>
        </w:trPr>
        <w:tc>
          <w:tcPr>
            <w:tcW w:w="0" w:type="auto"/>
            <w:vMerge/>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p>
        </w:tc>
        <w:tc>
          <w:tcPr>
            <w:tcW w:w="0" w:type="auto"/>
            <w:vMerge w:val="restart"/>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中密集区</w:t>
            </w:r>
          </w:p>
        </w:tc>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居住用地</w:t>
            </w:r>
          </w:p>
        </w:tc>
        <w:tc>
          <w:tcPr>
            <w:tcW w:w="0" w:type="auto"/>
            <w:vMerge w:val="restart"/>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10</w:t>
            </w:r>
          </w:p>
        </w:tc>
        <w:tc>
          <w:tcPr>
            <w:tcW w:w="0" w:type="auto"/>
            <w:vMerge w:val="restart"/>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250-350</w:t>
            </w:r>
          </w:p>
        </w:tc>
      </w:tr>
      <w:tr>
        <w:tblPrEx>
          <w:tblW w:w="5000" w:type="pct"/>
          <w:jc w:val="center"/>
          <w:tblCellMar>
            <w:top w:w="0" w:type="dxa"/>
            <w:left w:w="0" w:type="dxa"/>
            <w:bottom w:w="0" w:type="dxa"/>
            <w:right w:w="0" w:type="dxa"/>
          </w:tblCellMar>
        </w:tblPrEx>
        <w:trPr>
          <w:jc w:val="center"/>
        </w:trPr>
        <w:tc>
          <w:tcPr>
            <w:tcW w:w="0" w:type="auto"/>
            <w:vMerge/>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p>
        </w:tc>
        <w:tc>
          <w:tcPr>
            <w:tcW w:w="0" w:type="auto"/>
            <w:vMerge/>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p>
        </w:tc>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市级、区级公园绿地、大型游乐用地</w:t>
            </w:r>
          </w:p>
        </w:tc>
        <w:tc>
          <w:tcPr>
            <w:tcW w:w="0" w:type="auto"/>
            <w:vMerge/>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p>
        </w:tc>
        <w:tc>
          <w:tcPr>
            <w:tcW w:w="0" w:type="auto"/>
            <w:vMerge/>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p>
        </w:tc>
      </w:tr>
      <w:tr>
        <w:tblPrEx>
          <w:tblW w:w="5000" w:type="pct"/>
          <w:jc w:val="center"/>
          <w:tblCellMar>
            <w:top w:w="0" w:type="dxa"/>
            <w:left w:w="0" w:type="dxa"/>
            <w:bottom w:w="0" w:type="dxa"/>
            <w:right w:w="0" w:type="dxa"/>
          </w:tblCellMar>
        </w:tblPrEx>
        <w:trPr>
          <w:jc w:val="center"/>
        </w:trPr>
        <w:tc>
          <w:tcPr>
            <w:tcW w:w="0" w:type="auto"/>
            <w:vMerge/>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p>
        </w:tc>
        <w:tc>
          <w:tcPr>
            <w:tcW w:w="0" w:type="auto"/>
            <w:vMerge w:val="restart"/>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一般密集区</w:t>
            </w:r>
          </w:p>
        </w:tc>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工业用地</w:t>
            </w:r>
          </w:p>
        </w:tc>
        <w:tc>
          <w:tcPr>
            <w:tcW w:w="0" w:type="auto"/>
            <w:vMerge w:val="restart"/>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6</w:t>
            </w:r>
          </w:p>
        </w:tc>
        <w:tc>
          <w:tcPr>
            <w:tcW w:w="0" w:type="auto"/>
            <w:vMerge w:val="restart"/>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350-450</w:t>
            </w:r>
          </w:p>
        </w:tc>
      </w:tr>
      <w:tr>
        <w:tblPrEx>
          <w:tblW w:w="5000" w:type="pct"/>
          <w:jc w:val="center"/>
          <w:tblCellMar>
            <w:top w:w="0" w:type="dxa"/>
            <w:left w:w="0" w:type="dxa"/>
            <w:bottom w:w="0" w:type="dxa"/>
            <w:right w:w="0" w:type="dxa"/>
          </w:tblCellMar>
        </w:tblPrEx>
        <w:trPr>
          <w:jc w:val="center"/>
        </w:trPr>
        <w:tc>
          <w:tcPr>
            <w:tcW w:w="0" w:type="auto"/>
            <w:vMerge/>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p>
        </w:tc>
        <w:tc>
          <w:tcPr>
            <w:tcW w:w="0" w:type="auto"/>
            <w:vMerge/>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p>
        </w:tc>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货运交通枢纽</w:t>
            </w:r>
          </w:p>
        </w:tc>
        <w:tc>
          <w:tcPr>
            <w:tcW w:w="0" w:type="auto"/>
            <w:vMerge/>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p>
        </w:tc>
        <w:tc>
          <w:tcPr>
            <w:tcW w:w="0" w:type="auto"/>
            <w:vMerge/>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p>
        </w:tc>
      </w:tr>
      <w:tr>
        <w:tblPrEx>
          <w:tblW w:w="5000" w:type="pct"/>
          <w:jc w:val="center"/>
          <w:tblCellMar>
            <w:top w:w="0" w:type="dxa"/>
            <w:left w:w="0" w:type="dxa"/>
            <w:bottom w:w="0" w:type="dxa"/>
            <w:right w:w="0" w:type="dxa"/>
          </w:tblCellMar>
        </w:tblPrEx>
        <w:trPr>
          <w:jc w:val="center"/>
        </w:trPr>
        <w:tc>
          <w:tcPr>
            <w:tcW w:w="0" w:type="auto"/>
            <w:vMerge/>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p>
        </w:tc>
        <w:tc>
          <w:tcPr>
            <w:tcW w:w="0" w:type="auto"/>
            <w:vMerge/>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p>
        </w:tc>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物流仓储用地</w:t>
            </w:r>
          </w:p>
        </w:tc>
        <w:tc>
          <w:tcPr>
            <w:tcW w:w="0" w:type="auto"/>
            <w:vMerge/>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p>
        </w:tc>
        <w:tc>
          <w:tcPr>
            <w:tcW w:w="0" w:type="auto"/>
            <w:vMerge/>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p>
        </w:tc>
      </w:tr>
      <w:tr>
        <w:tblPrEx>
          <w:tblW w:w="5000" w:type="pct"/>
          <w:jc w:val="center"/>
          <w:tblCellMar>
            <w:top w:w="0" w:type="dxa"/>
            <w:left w:w="0" w:type="dxa"/>
            <w:bottom w:w="0" w:type="dxa"/>
            <w:right w:w="0" w:type="dxa"/>
          </w:tblCellMar>
        </w:tblPrEx>
        <w:trPr>
          <w:jc w:val="center"/>
        </w:trPr>
        <w:tc>
          <w:tcPr>
            <w:tcW w:w="0" w:type="auto"/>
            <w:vMerge/>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p>
        </w:tc>
        <w:tc>
          <w:tcPr>
            <w:tcW w:w="0" w:type="auto"/>
            <w:vMerge/>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p>
        </w:tc>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公用设施用地</w:t>
            </w:r>
          </w:p>
        </w:tc>
        <w:tc>
          <w:tcPr>
            <w:tcW w:w="0" w:type="auto"/>
            <w:vMerge/>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p>
        </w:tc>
        <w:tc>
          <w:tcPr>
            <w:tcW w:w="0" w:type="auto"/>
            <w:vMerge/>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p>
        </w:tc>
      </w:tr>
      <w:tr>
        <w:tblPrEx>
          <w:tblW w:w="5000" w:type="pct"/>
          <w:jc w:val="center"/>
          <w:tblCellMar>
            <w:top w:w="0" w:type="dxa"/>
            <w:left w:w="0" w:type="dxa"/>
            <w:bottom w:w="0" w:type="dxa"/>
            <w:right w:w="0" w:type="dxa"/>
          </w:tblCellMar>
        </w:tblPrEx>
        <w:trPr>
          <w:jc w:val="center"/>
        </w:trPr>
        <w:tc>
          <w:tcPr>
            <w:tcW w:w="0" w:type="auto"/>
            <w:vMerge/>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p>
        </w:tc>
        <w:tc>
          <w:tcPr>
            <w:tcW w:w="0" w:type="auto"/>
            <w:vMerge/>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p>
        </w:tc>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小型街头绿地、防护绿地</w:t>
            </w:r>
          </w:p>
        </w:tc>
        <w:tc>
          <w:tcPr>
            <w:tcW w:w="0" w:type="auto"/>
            <w:vMerge/>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p>
        </w:tc>
        <w:tc>
          <w:tcPr>
            <w:tcW w:w="0" w:type="auto"/>
            <w:vMerge/>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p>
        </w:tc>
      </w:tr>
      <w:tr>
        <w:tblPrEx>
          <w:tblW w:w="5000" w:type="pct"/>
          <w:jc w:val="center"/>
          <w:tblCellMar>
            <w:top w:w="0" w:type="dxa"/>
            <w:left w:w="0" w:type="dxa"/>
            <w:bottom w:w="0" w:type="dxa"/>
            <w:right w:w="0" w:type="dxa"/>
          </w:tblCellMar>
        </w:tblPrEx>
        <w:trPr>
          <w:jc w:val="center"/>
        </w:trPr>
        <w:tc>
          <w:tcPr>
            <w:tcW w:w="0" w:type="auto"/>
            <w:vMerge/>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p>
        </w:tc>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边缘区</w:t>
            </w:r>
          </w:p>
        </w:tc>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农业及生态结构用地</w:t>
            </w:r>
          </w:p>
        </w:tc>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4</w:t>
            </w:r>
          </w:p>
        </w:tc>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450-650</w:t>
            </w:r>
          </w:p>
        </w:tc>
      </w:tr>
      <w:tr>
        <w:tblPrEx>
          <w:tblW w:w="5000" w:type="pct"/>
          <w:jc w:val="center"/>
          <w:tblCellMar>
            <w:top w:w="0" w:type="dxa"/>
            <w:left w:w="0" w:type="dxa"/>
            <w:bottom w:w="0" w:type="dxa"/>
            <w:right w:w="0" w:type="dxa"/>
          </w:tblCellMar>
        </w:tblPrEx>
        <w:trPr>
          <w:jc w:val="center"/>
        </w:trPr>
        <w:tc>
          <w:tcPr>
            <w:tcW w:w="0" w:type="auto"/>
            <w:vMerge/>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p>
        </w:tc>
        <w:tc>
          <w:tcPr>
            <w:tcW w:w="0" w:type="auto"/>
            <w:vMerge w:val="restart"/>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特殊区</w:t>
            </w:r>
          </w:p>
        </w:tc>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机场</w:t>
            </w:r>
          </w:p>
        </w:tc>
        <w:tc>
          <w:tcPr>
            <w:tcW w:w="0" w:type="auto"/>
            <w:vMerge w:val="restart"/>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w:t>
            </w:r>
          </w:p>
        </w:tc>
        <w:tc>
          <w:tcPr>
            <w:tcW w:w="0" w:type="auto"/>
            <w:vMerge w:val="restart"/>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结合实际情况确定</w:t>
            </w:r>
          </w:p>
        </w:tc>
      </w:tr>
      <w:tr>
        <w:tblPrEx>
          <w:tblW w:w="5000" w:type="pct"/>
          <w:jc w:val="center"/>
          <w:tblCellMar>
            <w:top w:w="0" w:type="dxa"/>
            <w:left w:w="0" w:type="dxa"/>
            <w:bottom w:w="0" w:type="dxa"/>
            <w:right w:w="0" w:type="dxa"/>
          </w:tblCellMar>
        </w:tblPrEx>
        <w:trPr>
          <w:jc w:val="center"/>
        </w:trPr>
        <w:tc>
          <w:tcPr>
            <w:tcW w:w="0" w:type="auto"/>
            <w:vMerge/>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p>
        </w:tc>
        <w:tc>
          <w:tcPr>
            <w:tcW w:w="0" w:type="auto"/>
            <w:vMerge/>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p>
        </w:tc>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历史文化名城核心保护区</w:t>
            </w:r>
          </w:p>
        </w:tc>
        <w:tc>
          <w:tcPr>
            <w:tcW w:w="0" w:type="auto"/>
            <w:vMerge/>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p>
        </w:tc>
        <w:tc>
          <w:tcPr>
            <w:tcW w:w="0" w:type="auto"/>
            <w:vMerge/>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p>
        </w:tc>
      </w:tr>
      <w:tr>
        <w:tblPrEx>
          <w:tblW w:w="5000" w:type="pct"/>
          <w:jc w:val="center"/>
          <w:tblCellMar>
            <w:top w:w="0" w:type="dxa"/>
            <w:left w:w="0" w:type="dxa"/>
            <w:bottom w:w="0" w:type="dxa"/>
            <w:right w:w="0" w:type="dxa"/>
          </w:tblCellMar>
        </w:tblPrEx>
        <w:trPr>
          <w:jc w:val="center"/>
        </w:trPr>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微基站</w:t>
            </w:r>
          </w:p>
        </w:tc>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p>
        </w:tc>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结合实际需求确定</w:t>
            </w:r>
          </w:p>
        </w:tc>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w:t>
            </w:r>
          </w:p>
        </w:tc>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100-200</w:t>
            </w:r>
          </w:p>
        </w:tc>
      </w:tr>
    </w:tbl>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注：1）改建及新建地块需要优先落实基站建设。</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2）涉及现状改造地块应按照上表标准进行优化布点。</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3）规划站间距具体值建议结合地块开发强度进行选择。</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4）特殊区内基站布局应与有关主管部门衔接，进行针对性布局。</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（5）规划管控分区</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本规划按照地块的用地性质、城市风貌、城市空间景观要求等条件，将规划区划分为三类管控分区。处于管控分区界线上的宏基站，原则上按上一级分区的控制要求进行建设。</w:t>
      </w:r>
    </w:p>
    <w:p>
      <w:pPr>
        <w:widowControl/>
        <w:spacing w:line="240" w:lineRule="auto"/>
        <w:ind w:left="0" w:firstLine="422"/>
        <w:jc w:val="center"/>
        <w:rPr>
          <w:rFonts w:ascii="Times New Roman" w:eastAsia="宋体" w:hAnsi="Times New Roman"/>
          <w:b/>
          <w:bCs/>
          <w:color w:val="auto"/>
          <w:szCs w:val="21"/>
          <w:highlight w:val="none"/>
        </w:rPr>
      </w:pPr>
      <w:r>
        <w:rPr>
          <w:rFonts w:ascii="Times New Roman" w:eastAsia="宋体" w:hAnsi="Times New Roman" w:hint="eastAsia"/>
          <w:b/>
          <w:bCs/>
          <w:color w:val="auto"/>
          <w:szCs w:val="21"/>
          <w:highlight w:val="none"/>
        </w:rPr>
        <w:t>表5</w:t>
      </w:r>
      <w:r>
        <w:rPr>
          <w:rFonts w:ascii="Times New Roman" w:eastAsia="宋体" w:hAnsi="Times New Roman"/>
          <w:b/>
          <w:bCs/>
          <w:color w:val="auto"/>
          <w:szCs w:val="21"/>
          <w:highlight w:val="none"/>
        </w:rPr>
        <w:t>-4</w:t>
      </w:r>
      <w:r>
        <w:rPr>
          <w:rFonts w:ascii="Times New Roman" w:eastAsia="宋体" w:hAnsi="Times New Roman" w:hint="eastAsia"/>
          <w:b/>
          <w:bCs/>
          <w:color w:val="auto"/>
          <w:szCs w:val="21"/>
          <w:highlight w:val="none"/>
        </w:rPr>
        <w:t xml:space="preserve"> 管控分区划分表</w:t>
      </w:r>
    </w:p>
    <w:tbl>
      <w:tblPr>
        <w:tblStyle w:val="TableNormal"/>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4" w:space="0" w:color="000000"/>
        </w:tblBorders>
        <w:tblCellMar>
          <w:top w:w="0" w:type="dxa"/>
          <w:left w:w="0" w:type="dxa"/>
          <w:bottom w:w="0" w:type="dxa"/>
          <w:right w:w="0" w:type="dxa"/>
        </w:tblCellMar>
      </w:tblPr>
      <w:tblGrid>
        <w:gridCol w:w="1587"/>
        <w:gridCol w:w="8595"/>
      </w:tblGrid>
      <w:tr>
        <w:tblPrEx>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4" w:space="0" w:color="000000"/>
          </w:tblBorders>
          <w:tblCellMar>
            <w:top w:w="0" w:type="dxa"/>
            <w:left w:w="0" w:type="dxa"/>
            <w:bottom w:w="0" w:type="dxa"/>
            <w:right w:w="0" w:type="dxa"/>
          </w:tblCellMar>
        </w:tblPrEx>
        <w:trPr>
          <w:jc w:val="center"/>
        </w:trPr>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管控类别</w:t>
            </w:r>
          </w:p>
        </w:tc>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划分依据</w:t>
            </w:r>
          </w:p>
        </w:tc>
      </w:tr>
      <w:tr>
        <w:tblPrEx>
          <w:tblW w:w="5000" w:type="pct"/>
          <w:jc w:val="center"/>
          <w:tblCellMar>
            <w:top w:w="0" w:type="dxa"/>
            <w:left w:w="0" w:type="dxa"/>
            <w:bottom w:w="0" w:type="dxa"/>
            <w:right w:w="0" w:type="dxa"/>
          </w:tblCellMar>
        </w:tblPrEx>
        <w:trPr>
          <w:jc w:val="center"/>
        </w:trPr>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A类管控区域</w:t>
            </w:r>
          </w:p>
        </w:tc>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市、区级商业中心区，市级政务中心，城市公园等空间风貌要求较高的区域</w:t>
            </w:r>
          </w:p>
        </w:tc>
      </w:tr>
      <w:tr>
        <w:tblPrEx>
          <w:tblW w:w="5000" w:type="pct"/>
          <w:jc w:val="center"/>
          <w:tblCellMar>
            <w:top w:w="0" w:type="dxa"/>
            <w:left w:w="0" w:type="dxa"/>
            <w:bottom w:w="0" w:type="dxa"/>
            <w:right w:w="0" w:type="dxa"/>
          </w:tblCellMar>
        </w:tblPrEx>
        <w:trPr>
          <w:jc w:val="center"/>
        </w:trPr>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B类管控区域</w:t>
            </w:r>
          </w:p>
        </w:tc>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居住区、居住区级商业，区级行政办公等城市空间风貌要求一般的区域</w:t>
            </w:r>
          </w:p>
        </w:tc>
      </w:tr>
      <w:tr>
        <w:tblPrEx>
          <w:tblW w:w="5000" w:type="pct"/>
          <w:jc w:val="center"/>
          <w:tblCellMar>
            <w:top w:w="0" w:type="dxa"/>
            <w:left w:w="0" w:type="dxa"/>
            <w:bottom w:w="0" w:type="dxa"/>
            <w:right w:w="0" w:type="dxa"/>
          </w:tblCellMar>
        </w:tblPrEx>
        <w:trPr>
          <w:jc w:val="center"/>
        </w:trPr>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C类管控区域</w:t>
            </w:r>
          </w:p>
        </w:tc>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工业区、仓储物流区等城市空间风貌要求较低的区域</w:t>
            </w:r>
          </w:p>
        </w:tc>
      </w:tr>
    </w:tbl>
    <w:p>
      <w:pPr>
        <w:widowControl/>
        <w:spacing w:line="240" w:lineRule="auto"/>
        <w:ind w:left="0" w:firstLine="422"/>
        <w:jc w:val="center"/>
        <w:rPr>
          <w:rFonts w:ascii="Times New Roman" w:eastAsia="宋体" w:hAnsi="Times New Roman"/>
          <w:b/>
          <w:bCs/>
          <w:color w:val="auto"/>
          <w:szCs w:val="21"/>
          <w:highlight w:val="none"/>
        </w:rPr>
      </w:pPr>
      <w:r>
        <w:rPr>
          <w:rFonts w:ascii="Times New Roman" w:eastAsia="宋体" w:hAnsi="Times New Roman" w:hint="eastAsia"/>
          <w:b/>
          <w:bCs/>
          <w:color w:val="auto"/>
          <w:szCs w:val="21"/>
          <w:highlight w:val="none"/>
        </w:rPr>
        <w:t>表5</w:t>
      </w:r>
      <w:r>
        <w:rPr>
          <w:rFonts w:ascii="Times New Roman" w:eastAsia="宋体" w:hAnsi="Times New Roman"/>
          <w:b/>
          <w:bCs/>
          <w:color w:val="auto"/>
          <w:szCs w:val="21"/>
          <w:highlight w:val="none"/>
        </w:rPr>
        <w:t>-5</w:t>
      </w:r>
      <w:r>
        <w:rPr>
          <w:rFonts w:ascii="Times New Roman" w:eastAsia="宋体" w:hAnsi="Times New Roman" w:hint="eastAsia"/>
          <w:b/>
          <w:bCs/>
          <w:color w:val="auto"/>
          <w:szCs w:val="21"/>
          <w:highlight w:val="none"/>
        </w:rPr>
        <w:t xml:space="preserve">  管控分区宏基站控制要素一览表</w:t>
      </w:r>
    </w:p>
    <w:tbl>
      <w:tblPr>
        <w:tblStyle w:val="TableNormal"/>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4" w:space="0" w:color="000000"/>
        </w:tblBorders>
        <w:tblCellMar>
          <w:top w:w="0" w:type="dxa"/>
          <w:left w:w="0" w:type="dxa"/>
          <w:bottom w:w="0" w:type="dxa"/>
          <w:right w:w="0" w:type="dxa"/>
        </w:tblCellMar>
      </w:tblPr>
      <w:tblGrid>
        <w:gridCol w:w="932"/>
        <w:gridCol w:w="6081"/>
        <w:gridCol w:w="3169"/>
      </w:tblGrid>
      <w:tr>
        <w:tblPrEx>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4" w:space="0" w:color="000000"/>
          </w:tblBorders>
          <w:tblCellMar>
            <w:top w:w="0" w:type="dxa"/>
            <w:left w:w="0" w:type="dxa"/>
            <w:bottom w:w="0" w:type="dxa"/>
            <w:right w:w="0" w:type="dxa"/>
          </w:tblCellMar>
        </w:tblPrEx>
        <w:trPr>
          <w:jc w:val="center"/>
        </w:trPr>
        <w:tc>
          <w:tcPr>
            <w:tcW w:w="0" w:type="auto"/>
            <w:vMerge w:val="restart"/>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管控分区</w:t>
            </w:r>
          </w:p>
        </w:tc>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地面塔</w:t>
            </w:r>
          </w:p>
        </w:tc>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楼顶塔</w:t>
            </w:r>
          </w:p>
        </w:tc>
      </w:tr>
      <w:tr>
        <w:tblPrEx>
          <w:tblW w:w="5000" w:type="pct"/>
          <w:jc w:val="center"/>
          <w:tblCellMar>
            <w:top w:w="0" w:type="dxa"/>
            <w:left w:w="0" w:type="dxa"/>
            <w:bottom w:w="0" w:type="dxa"/>
            <w:right w:w="0" w:type="dxa"/>
          </w:tblCellMar>
        </w:tblPrEx>
        <w:trPr>
          <w:jc w:val="center"/>
        </w:trPr>
        <w:tc>
          <w:tcPr>
            <w:tcW w:w="0" w:type="auto"/>
            <w:vMerge/>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b/>
                <w:bCs/>
                <w:color w:val="auto"/>
                <w:kern w:val="0"/>
                <w:szCs w:val="21"/>
                <w:highlight w:val="none"/>
              </w:rPr>
            </w:pPr>
          </w:p>
        </w:tc>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塔型</w:t>
            </w:r>
          </w:p>
        </w:tc>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塔型</w:t>
            </w:r>
          </w:p>
        </w:tc>
      </w:tr>
      <w:tr>
        <w:tblPrEx>
          <w:tblW w:w="5000" w:type="pct"/>
          <w:jc w:val="center"/>
          <w:tblCellMar>
            <w:top w:w="0" w:type="dxa"/>
            <w:left w:w="0" w:type="dxa"/>
            <w:bottom w:w="0" w:type="dxa"/>
            <w:right w:w="0" w:type="dxa"/>
          </w:tblCellMar>
        </w:tblPrEx>
        <w:trPr>
          <w:jc w:val="center"/>
        </w:trPr>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A类</w:t>
            </w:r>
          </w:p>
        </w:tc>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景观塔、监控杆、路灯杆、广告牌、公交站牌（按实际需要）</w:t>
            </w:r>
          </w:p>
        </w:tc>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楼顶美化体为主</w:t>
            </w:r>
          </w:p>
        </w:tc>
      </w:tr>
      <w:tr>
        <w:tblPrEx>
          <w:tblW w:w="5000" w:type="pct"/>
          <w:jc w:val="center"/>
          <w:tblCellMar>
            <w:top w:w="0" w:type="dxa"/>
            <w:left w:w="0" w:type="dxa"/>
            <w:bottom w:w="0" w:type="dxa"/>
            <w:right w:w="0" w:type="dxa"/>
          </w:tblCellMar>
        </w:tblPrEx>
        <w:trPr>
          <w:jc w:val="center"/>
        </w:trPr>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B类</w:t>
            </w:r>
          </w:p>
        </w:tc>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景观塔、监控杆、路灯杆、广告牌、公交站牌（按实际需要）</w:t>
            </w:r>
          </w:p>
        </w:tc>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楼顶美化体为主（按实际需要）</w:t>
            </w:r>
          </w:p>
        </w:tc>
      </w:tr>
      <w:tr>
        <w:tblPrEx>
          <w:tblW w:w="5000" w:type="pct"/>
          <w:jc w:val="center"/>
          <w:tblCellMar>
            <w:top w:w="0" w:type="dxa"/>
            <w:left w:w="0" w:type="dxa"/>
            <w:bottom w:w="0" w:type="dxa"/>
            <w:right w:w="0" w:type="dxa"/>
          </w:tblCellMar>
        </w:tblPrEx>
        <w:trPr>
          <w:jc w:val="center"/>
        </w:trPr>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C类</w:t>
            </w:r>
          </w:p>
        </w:tc>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普通地面塔、景观塔</w:t>
            </w:r>
          </w:p>
        </w:tc>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普通楼面塔为主</w:t>
            </w:r>
          </w:p>
        </w:tc>
      </w:tr>
      <w:tr>
        <w:tblPrEx>
          <w:tblW w:w="5000" w:type="pct"/>
          <w:jc w:val="center"/>
          <w:tblCellMar>
            <w:top w:w="0" w:type="dxa"/>
            <w:left w:w="0" w:type="dxa"/>
            <w:bottom w:w="0" w:type="dxa"/>
            <w:right w:w="0" w:type="dxa"/>
          </w:tblCellMar>
        </w:tblPrEx>
        <w:trPr>
          <w:jc w:val="center"/>
        </w:trPr>
        <w:tc>
          <w:tcPr>
            <w:tcW w:w="0" w:type="auto"/>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其他区域</w:t>
            </w:r>
          </w:p>
        </w:tc>
        <w:tc>
          <w:tcPr>
            <w:tcW w:w="0" w:type="auto"/>
            <w:gridSpan w:val="2"/>
            <w:tcMar>
              <w:top w:w="15" w:type="dxa"/>
              <w:left w:w="15"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规划范围外铁塔建设原则上由铁塔公司根据满足通信需求的要求。</w:t>
            </w:r>
          </w:p>
        </w:tc>
      </w:tr>
    </w:tbl>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（6）农业及生态结构用地规划布局</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农业及生态结构用地一般指风景旅游区、定向半开放式动植物园林等周末节假热点网红地。本次规划在规划区域内通过现有规划路网，以约450-650米为布点站距规划布点。规划区域以外，在其他规划或后期规划布点覆盖。</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（7）交通干线规划布局</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交通干线主要分城市道路、县级以上道路、高速公路、高铁动车、普通铁路等，本次规划在规划区域内城市道路、县级以上道路、高铁动车、普通铁路按中密集区城区250-350米为布点站距规划布点。规划区域以外，在其他规划或后期规划布点覆盖。</w:t>
      </w:r>
    </w:p>
    <w:p>
      <w:pPr>
        <w:pStyle w:val="Heading3"/>
        <w:spacing w:line="240" w:lineRule="auto"/>
        <w:ind w:left="0" w:firstLine="482"/>
        <w:rPr>
          <w:rFonts w:ascii="Times New Roman" w:eastAsia="宋体" w:hAnsi="Times New Roman" w:cstheme="majorEastAsia"/>
          <w:color w:val="auto"/>
          <w:sz w:val="24"/>
          <w:szCs w:val="24"/>
          <w:highlight w:val="none"/>
        </w:rPr>
      </w:pPr>
      <w:bookmarkStart w:id="25" w:name="_Toc1249"/>
      <w:r>
        <w:rPr>
          <w:rFonts w:ascii="Times New Roman" w:eastAsia="宋体" w:hAnsi="Times New Roman" w:cstheme="majorEastAsia" w:hint="eastAsia"/>
          <w:color w:val="auto"/>
          <w:sz w:val="24"/>
          <w:szCs w:val="24"/>
          <w:highlight w:val="none"/>
        </w:rPr>
        <w:t>三、市域通信宏基站规划方案</w:t>
      </w:r>
      <w:bookmarkEnd w:id="25"/>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1、中心城区通信基础设施规划</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中心城区区域，结合城市建筑物分布特征，中心城区周围建筑物平均高度&gt;30米</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10层以上</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 周围建筑物平均楼距约10－20米，区域内建筑物平均高度或平均密度明显高于城市内周围建筑物，地形相对平坦，中高层建筑可能较多，一般包含密集的高层建筑群、密集商住</w:t>
      </w:r>
      <w:r>
        <w:rPr>
          <w:rFonts w:ascii="Times New Roman" w:eastAsia="宋体" w:hAnsi="Times New Roman" w:hint="eastAsia"/>
          <w:color w:val="auto"/>
          <w:sz w:val="24"/>
          <w:highlight w:val="none"/>
          <w:lang w:val="en-US" w:eastAsia="zh-CN"/>
        </w:rPr>
        <w:t>楼</w:t>
      </w:r>
      <w:r>
        <w:rPr>
          <w:rFonts w:ascii="Times New Roman" w:eastAsia="宋体" w:hAnsi="Times New Roman" w:hint="eastAsia"/>
          <w:color w:val="auto"/>
          <w:sz w:val="24"/>
          <w:highlight w:val="none"/>
        </w:rPr>
        <w:t>构成的商业中心区及由缺乏统一规划的大量自建住宅构成的城中村。依据区域的地理特征、人口特征、业务需求情况等功能特征，对覆盖场景定义如下：</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（1）密集商业区</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商业区是城市最繁华地段，大多数建筑物高度在30米</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10层</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以下，高、中、低层建筑相间其中，并紧密相挨，建筑物分布较为规则，人口密度大，流动性强，用户对语音业务要求较高，对数据业务要求一般。</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（2）高层住宅小区</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高层住宅小区是多栋中高层建筑紧密相邻，建筑物内常设有电梯和地下停车场，地势基本平坦，区域内有绿化带或小型山丘，道路较窄，车流较少，人口分布规则，流动性较小，对语音业务要求较高，对数据业务要求也较高。</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（3）CBD商业中心</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CBD商业中心拥有大量的商务办公楼，典型特征是高楼林立，大多数建筑物高度在45米</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15层</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以上，常与大型购物中心及高档楼宇并存，高、中、低层建筑相间其中。建筑物分布规则，道路较宽。人口分布规则，流动性不强，对语音业务和数据业务要求较高。</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（4）市政广场</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市政广场多由公益工程兴建，以生态休闲功能为主，区域较为空旷，由花坛、雕塑、喷泉、文化廊、健身器材等组成，节假日人口流量大，人口分布不规则，对语音业务要求较高，对数据业务要求一般。</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（5）城中村地带</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城中村地带由大量密集的私人住宅组成，楼层高度通常为10层以下，楼间距较狭窄，整个城中村就像一个巨大而封闭的建筑物。城中村内建筑物分布极其不规则，道路狭窄，往往集中大量外来人口，对语音业务和数据业务要求较高。</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结合中心城区特征以及规划原则，应充分考虑5G网络异构化组网的特征，基站站址形态逐渐由“高、大、远、疏”的传统模式转变为“低、小、近、密”的综合覆盖模式，形成存量宏站为骨架、道路杆塔为脉络、微型杆塔为拓展的5G城区站址资源库。</w:t>
      </w:r>
    </w:p>
    <w:p>
      <w:pPr>
        <w:widowControl/>
        <w:spacing w:line="240" w:lineRule="auto"/>
        <w:ind w:left="0" w:firstLine="422"/>
        <w:jc w:val="center"/>
        <w:rPr>
          <w:rFonts w:ascii="Times New Roman" w:eastAsia="宋体" w:hAnsi="Times New Roman"/>
          <w:b/>
          <w:bCs/>
          <w:color w:val="auto"/>
          <w:szCs w:val="21"/>
          <w:highlight w:val="none"/>
        </w:rPr>
      </w:pPr>
      <w:r>
        <w:rPr>
          <w:rFonts w:ascii="Times New Roman" w:eastAsia="宋体" w:hAnsi="Times New Roman" w:hint="eastAsia"/>
          <w:b/>
          <w:bCs/>
          <w:color w:val="auto"/>
          <w:szCs w:val="21"/>
          <w:highlight w:val="none"/>
        </w:rPr>
        <w:t>表5</w:t>
      </w:r>
      <w:r>
        <w:rPr>
          <w:rFonts w:ascii="Times New Roman" w:eastAsia="宋体" w:hAnsi="Times New Roman"/>
          <w:b/>
          <w:bCs/>
          <w:color w:val="auto"/>
          <w:szCs w:val="21"/>
          <w:highlight w:val="none"/>
        </w:rPr>
        <w:t>-</w:t>
      </w:r>
      <w:r>
        <w:rPr>
          <w:rFonts w:ascii="Times New Roman" w:eastAsia="宋体" w:hAnsi="Times New Roman" w:hint="eastAsia"/>
          <w:b/>
          <w:bCs/>
          <w:color w:val="auto"/>
          <w:szCs w:val="21"/>
          <w:highlight w:val="none"/>
        </w:rPr>
        <w:t xml:space="preserve"> </w:t>
      </w:r>
      <w:r>
        <w:rPr>
          <w:rFonts w:ascii="Times New Roman" w:eastAsia="宋体" w:hAnsi="Times New Roman"/>
          <w:b/>
          <w:bCs/>
          <w:color w:val="auto"/>
          <w:szCs w:val="21"/>
          <w:highlight w:val="none"/>
        </w:rPr>
        <w:t>6</w:t>
      </w:r>
      <w:r>
        <w:rPr>
          <w:rFonts w:ascii="Times New Roman" w:eastAsia="宋体" w:hAnsi="Times New Roman" w:hint="eastAsia"/>
          <w:b/>
          <w:bCs/>
          <w:color w:val="auto"/>
          <w:szCs w:val="21"/>
          <w:highlight w:val="none"/>
        </w:rPr>
        <w:t xml:space="preserve">  中心城区通信基础设施规划策略</w:t>
      </w:r>
    </w:p>
    <w:tbl>
      <w:tblPr>
        <w:tblStyle w:val="TableNormal"/>
        <w:tblW w:w="4973"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
      <w:tblGrid>
        <w:gridCol w:w="698"/>
        <w:gridCol w:w="769"/>
        <w:gridCol w:w="1809"/>
        <w:gridCol w:w="564"/>
        <w:gridCol w:w="564"/>
        <w:gridCol w:w="918"/>
        <w:gridCol w:w="564"/>
        <w:gridCol w:w="4231"/>
      </w:tblGrid>
      <w:tr>
        <w:tblPrEx>
          <w:tblW w:w="4973"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0" w:type="dxa"/>
            <w:bottom w:w="0" w:type="dxa"/>
            <w:right w:w="0" w:type="dxa"/>
          </w:tblCellMar>
        </w:tblPrEx>
        <w:trPr>
          <w:tblHeader/>
          <w:jc w:val="center"/>
        </w:trPr>
        <w:tc>
          <w:tcPr>
            <w:tcW w:w="345" w:type="pct"/>
            <w:tcMar>
              <w:top w:w="17" w:type="dxa"/>
              <w:left w:w="17" w:type="dxa"/>
              <w:right w:w="17" w:type="dxa"/>
            </w:tcMar>
            <w:vAlign w:val="center"/>
          </w:tcPr>
          <w:p>
            <w:pPr>
              <w:widowControl/>
              <w:spacing w:line="240" w:lineRule="auto"/>
              <w:ind w:left="0" w:firstLine="0" w:firstLineChars="0"/>
              <w:jc w:val="center"/>
              <w:textAlignment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网络</w:t>
            </w:r>
          </w:p>
          <w:p>
            <w:pPr>
              <w:widowControl/>
              <w:spacing w:line="240" w:lineRule="auto"/>
              <w:ind w:left="0" w:firstLine="0" w:firstLineChars="0"/>
              <w:jc w:val="center"/>
              <w:textAlignment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分层</w:t>
            </w:r>
          </w:p>
        </w:tc>
        <w:tc>
          <w:tcPr>
            <w:tcW w:w="380" w:type="pct"/>
            <w:vAlign w:val="center"/>
          </w:tcPr>
          <w:p>
            <w:pPr>
              <w:widowControl/>
              <w:spacing w:line="240" w:lineRule="auto"/>
              <w:ind w:left="0" w:firstLine="0" w:firstLineChars="0"/>
              <w:jc w:val="center"/>
              <w:textAlignment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设备</w:t>
            </w:r>
          </w:p>
          <w:p>
            <w:pPr>
              <w:widowControl/>
              <w:spacing w:line="240" w:lineRule="auto"/>
              <w:ind w:left="0" w:firstLine="0" w:firstLineChars="0"/>
              <w:jc w:val="center"/>
              <w:textAlignment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形态</w:t>
            </w:r>
          </w:p>
        </w:tc>
        <w:tc>
          <w:tcPr>
            <w:tcW w:w="894" w:type="pct"/>
            <w:vAlign w:val="center"/>
          </w:tcPr>
          <w:p>
            <w:pPr>
              <w:widowControl/>
              <w:spacing w:line="240" w:lineRule="auto"/>
              <w:ind w:left="0" w:firstLine="0" w:firstLineChars="0"/>
              <w:jc w:val="center"/>
              <w:textAlignment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设备类型</w:t>
            </w:r>
          </w:p>
        </w:tc>
        <w:tc>
          <w:tcPr>
            <w:tcW w:w="0" w:type="auto"/>
            <w:vAlign w:val="center"/>
          </w:tcPr>
          <w:p>
            <w:pPr>
              <w:widowControl/>
              <w:spacing w:line="240" w:lineRule="auto"/>
              <w:ind w:left="0" w:firstLine="0" w:firstLineChars="0"/>
              <w:jc w:val="center"/>
              <w:textAlignment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设备功耗</w:t>
            </w:r>
          </w:p>
        </w:tc>
        <w:tc>
          <w:tcPr>
            <w:tcW w:w="0" w:type="auto"/>
            <w:vAlign w:val="center"/>
          </w:tcPr>
          <w:p>
            <w:pPr>
              <w:widowControl/>
              <w:spacing w:line="240" w:lineRule="auto"/>
              <w:ind w:left="0" w:firstLine="0" w:firstLineChars="0"/>
              <w:jc w:val="center"/>
              <w:textAlignment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系统容量</w:t>
            </w:r>
          </w:p>
        </w:tc>
        <w:tc>
          <w:tcPr>
            <w:tcW w:w="0" w:type="auto"/>
            <w:vAlign w:val="center"/>
          </w:tcPr>
          <w:p>
            <w:pPr>
              <w:widowControl/>
              <w:spacing w:line="240" w:lineRule="auto"/>
              <w:ind w:left="0" w:firstLine="0" w:firstLineChars="0"/>
              <w:jc w:val="center"/>
              <w:textAlignment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覆盖</w:t>
            </w:r>
          </w:p>
          <w:p>
            <w:pPr>
              <w:widowControl/>
              <w:spacing w:line="240" w:lineRule="auto"/>
              <w:ind w:left="0" w:firstLine="0" w:firstLineChars="0"/>
              <w:jc w:val="center"/>
              <w:textAlignment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范围</w:t>
            </w:r>
          </w:p>
        </w:tc>
        <w:tc>
          <w:tcPr>
            <w:tcW w:w="0" w:type="auto"/>
            <w:vAlign w:val="center"/>
          </w:tcPr>
          <w:p>
            <w:pPr>
              <w:widowControl/>
              <w:spacing w:line="240" w:lineRule="auto"/>
              <w:ind w:left="0" w:firstLine="0" w:firstLineChars="0"/>
              <w:jc w:val="center"/>
              <w:textAlignment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施工难度</w:t>
            </w:r>
          </w:p>
        </w:tc>
        <w:tc>
          <w:tcPr>
            <w:tcW w:w="0" w:type="auto"/>
            <w:vAlign w:val="center"/>
          </w:tcPr>
          <w:p>
            <w:pPr>
              <w:widowControl/>
              <w:spacing w:line="240" w:lineRule="auto"/>
              <w:ind w:left="0" w:firstLine="0" w:firstLineChars="0"/>
              <w:jc w:val="center"/>
              <w:textAlignment w:val="center"/>
              <w:rPr>
                <w:rFonts w:ascii="Times New Roman" w:eastAsia="宋体" w:hAnsi="Times New Roman" w:cs="宋体"/>
                <w:b/>
                <w:bCs/>
                <w:color w:val="auto"/>
                <w:kern w:val="0"/>
                <w:szCs w:val="21"/>
                <w:highlight w:val="none"/>
              </w:rPr>
            </w:pPr>
            <w:r>
              <w:rPr>
                <w:rFonts w:ascii="Times New Roman" w:eastAsia="宋体" w:hAnsi="Times New Roman" w:cs="宋体" w:hint="eastAsia"/>
                <w:b/>
                <w:bCs/>
                <w:color w:val="auto"/>
                <w:kern w:val="0"/>
                <w:szCs w:val="21"/>
                <w:highlight w:val="none"/>
              </w:rPr>
              <w:t>典型特点</w:t>
            </w:r>
          </w:p>
        </w:tc>
      </w:tr>
      <w:tr>
        <w:tblPrEx>
          <w:tblW w:w="4973" w:type="pct"/>
          <w:jc w:val="center"/>
          <w:tblCellMar>
            <w:top w:w="0" w:type="dxa"/>
            <w:left w:w="0" w:type="dxa"/>
            <w:bottom w:w="0" w:type="dxa"/>
            <w:right w:w="0" w:type="dxa"/>
          </w:tblCellMar>
        </w:tblPrEx>
        <w:trPr>
          <w:jc w:val="center"/>
        </w:trPr>
        <w:tc>
          <w:tcPr>
            <w:tcW w:w="345" w:type="pct"/>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布局层</w:t>
            </w:r>
          </w:p>
        </w:tc>
        <w:tc>
          <w:tcPr>
            <w:tcW w:w="380" w:type="pct"/>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宏站</w:t>
            </w:r>
          </w:p>
        </w:tc>
        <w:tc>
          <w:tcPr>
            <w:tcW w:w="894" w:type="pct"/>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宏蜂窝、分布式</w:t>
            </w:r>
          </w:p>
        </w:tc>
        <w:tc>
          <w:tcPr>
            <w:tcW w:w="0" w:type="auto"/>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高</w:t>
            </w:r>
          </w:p>
        </w:tc>
        <w:tc>
          <w:tcPr>
            <w:tcW w:w="0" w:type="auto"/>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高</w:t>
            </w:r>
          </w:p>
        </w:tc>
        <w:tc>
          <w:tcPr>
            <w:tcW w:w="0" w:type="auto"/>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200m以上</w:t>
            </w:r>
          </w:p>
        </w:tc>
        <w:tc>
          <w:tcPr>
            <w:tcW w:w="0" w:type="auto"/>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难</w:t>
            </w:r>
          </w:p>
        </w:tc>
        <w:tc>
          <w:tcPr>
            <w:tcW w:w="0" w:type="auto"/>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设备容量大，主设备可机柜、壁挂、挂杆安装，天线需杆塔安装。</w:t>
            </w:r>
          </w:p>
        </w:tc>
      </w:tr>
      <w:tr>
        <w:tblPrEx>
          <w:tblW w:w="4973" w:type="pct"/>
          <w:jc w:val="center"/>
          <w:tblCellMar>
            <w:top w:w="0" w:type="dxa"/>
            <w:left w:w="0" w:type="dxa"/>
            <w:bottom w:w="0" w:type="dxa"/>
            <w:right w:w="0" w:type="dxa"/>
          </w:tblCellMar>
        </w:tblPrEx>
        <w:trPr>
          <w:jc w:val="center"/>
        </w:trPr>
        <w:tc>
          <w:tcPr>
            <w:tcW w:w="345" w:type="pct"/>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补盲层</w:t>
            </w:r>
          </w:p>
        </w:tc>
        <w:tc>
          <w:tcPr>
            <w:tcW w:w="380" w:type="pct"/>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杆站</w:t>
            </w:r>
          </w:p>
        </w:tc>
        <w:tc>
          <w:tcPr>
            <w:tcW w:w="894" w:type="pct"/>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分布式、Easy Macro等</w:t>
            </w:r>
          </w:p>
        </w:tc>
        <w:tc>
          <w:tcPr>
            <w:tcW w:w="0" w:type="auto"/>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中</w:t>
            </w:r>
          </w:p>
        </w:tc>
        <w:tc>
          <w:tcPr>
            <w:tcW w:w="0" w:type="auto"/>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中</w:t>
            </w:r>
          </w:p>
        </w:tc>
        <w:tc>
          <w:tcPr>
            <w:tcW w:w="0" w:type="auto"/>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100-300m</w:t>
            </w:r>
          </w:p>
        </w:tc>
        <w:tc>
          <w:tcPr>
            <w:tcW w:w="0" w:type="auto"/>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中</w:t>
            </w:r>
          </w:p>
        </w:tc>
        <w:tc>
          <w:tcPr>
            <w:tcW w:w="0" w:type="auto"/>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以景观塔、路灯杆等作为天线架设物，零站址敏捷建站，环境友好，隐蔽性强。</w:t>
            </w:r>
          </w:p>
        </w:tc>
      </w:tr>
      <w:tr>
        <w:tblPrEx>
          <w:tblW w:w="4973" w:type="pct"/>
          <w:jc w:val="center"/>
          <w:tblCellMar>
            <w:top w:w="0" w:type="dxa"/>
            <w:left w:w="0" w:type="dxa"/>
            <w:bottom w:w="0" w:type="dxa"/>
            <w:right w:w="0" w:type="dxa"/>
          </w:tblCellMar>
        </w:tblPrEx>
        <w:trPr>
          <w:jc w:val="center"/>
        </w:trPr>
        <w:tc>
          <w:tcPr>
            <w:tcW w:w="345" w:type="pct"/>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室内层</w:t>
            </w:r>
          </w:p>
        </w:tc>
        <w:tc>
          <w:tcPr>
            <w:tcW w:w="380" w:type="pct"/>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室分</w:t>
            </w:r>
          </w:p>
        </w:tc>
        <w:tc>
          <w:tcPr>
            <w:tcW w:w="894" w:type="pct"/>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光纤分布系统、Lamp Site、QCell等</w:t>
            </w:r>
          </w:p>
        </w:tc>
        <w:tc>
          <w:tcPr>
            <w:tcW w:w="0" w:type="auto"/>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低</w:t>
            </w:r>
          </w:p>
        </w:tc>
        <w:tc>
          <w:tcPr>
            <w:tcW w:w="0" w:type="auto"/>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高</w:t>
            </w:r>
          </w:p>
        </w:tc>
        <w:tc>
          <w:tcPr>
            <w:tcW w:w="0" w:type="auto"/>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10-50m</w:t>
            </w:r>
          </w:p>
        </w:tc>
        <w:tc>
          <w:tcPr>
            <w:tcW w:w="0" w:type="auto"/>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难</w:t>
            </w:r>
          </w:p>
        </w:tc>
        <w:tc>
          <w:tcPr>
            <w:tcW w:w="0" w:type="auto"/>
            <w:vAlign w:val="center"/>
          </w:tcPr>
          <w:p>
            <w:pPr>
              <w:widowControl/>
              <w:spacing w:line="240" w:lineRule="auto"/>
              <w:ind w:left="0" w:firstLine="0" w:firstLineChars="0"/>
              <w:jc w:val="center"/>
              <w:textAlignment w:val="center"/>
              <w:rPr>
                <w:rFonts w:ascii="Times New Roman" w:eastAsia="宋体" w:hAnsi="Times New Roman" w:cs="宋体"/>
                <w:color w:val="auto"/>
                <w:kern w:val="0"/>
                <w:szCs w:val="21"/>
                <w:highlight w:val="none"/>
              </w:rPr>
            </w:pPr>
            <w:r>
              <w:rPr>
                <w:rFonts w:ascii="Times New Roman" w:eastAsia="宋体" w:hAnsi="Times New Roman" w:cs="宋体" w:hint="eastAsia"/>
                <w:color w:val="auto"/>
                <w:kern w:val="0"/>
                <w:szCs w:val="21"/>
                <w:highlight w:val="none"/>
              </w:rPr>
              <w:t>大容量、易部署、易运维，但物业切入较为困难，施工牵涉人员众多。</w:t>
            </w:r>
          </w:p>
        </w:tc>
      </w:tr>
    </w:tbl>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玉林分为玉州区、福绵区：</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玉州区：</w:t>
      </w:r>
      <w:r>
        <w:rPr>
          <w:rFonts w:ascii="Times New Roman" w:eastAsia="宋体" w:hAnsi="Times New Roman"/>
          <w:color w:val="auto"/>
          <w:sz w:val="24"/>
          <w:highlight w:val="none"/>
        </w:rPr>
        <w:t>464</w:t>
      </w:r>
      <w:r>
        <w:rPr>
          <w:rFonts w:ascii="Times New Roman" w:eastAsia="宋体" w:hAnsi="Times New Roman" w:hint="eastAsia"/>
          <w:color w:val="auto"/>
          <w:sz w:val="24"/>
          <w:highlight w:val="none"/>
        </w:rPr>
        <w:t>平方千米区域面积，</w:t>
      </w:r>
      <w:r>
        <w:rPr>
          <w:rFonts w:ascii="Times New Roman" w:eastAsia="宋体" w:hAnsi="Times New Roman"/>
          <w:color w:val="auto"/>
          <w:sz w:val="24"/>
          <w:highlight w:val="none"/>
        </w:rPr>
        <w:t>80.36</w:t>
      </w:r>
      <w:r>
        <w:rPr>
          <w:rFonts w:ascii="Times New Roman" w:eastAsia="宋体" w:hAnsi="Times New Roman" w:hint="eastAsia"/>
          <w:color w:val="auto"/>
          <w:sz w:val="24"/>
          <w:highlight w:val="none"/>
        </w:rPr>
        <w:t>万人。规划站点</w:t>
      </w:r>
      <w:r>
        <w:rPr>
          <w:rFonts w:ascii="Times New Roman" w:eastAsia="宋体" w:hAnsi="Times New Roman" w:hint="eastAsia"/>
          <w:color w:val="auto"/>
          <w:sz w:val="24"/>
          <w:highlight w:val="none"/>
          <w:lang w:val="en-US" w:eastAsia="zh-CN"/>
        </w:rPr>
        <w:t>3114</w:t>
      </w:r>
      <w:r>
        <w:rPr>
          <w:rFonts w:ascii="Times New Roman" w:eastAsia="宋体" w:hAnsi="Times New Roman" w:hint="eastAsia"/>
          <w:color w:val="auto"/>
          <w:sz w:val="24"/>
          <w:highlight w:val="none"/>
        </w:rPr>
        <w:t>个。</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福绵区：</w:t>
      </w:r>
      <w:r>
        <w:rPr>
          <w:rFonts w:ascii="Times New Roman" w:eastAsia="宋体" w:hAnsi="Times New Roman"/>
          <w:color w:val="auto"/>
          <w:sz w:val="24"/>
          <w:highlight w:val="none"/>
        </w:rPr>
        <w:t>829</w:t>
      </w:r>
      <w:r>
        <w:rPr>
          <w:rFonts w:ascii="Times New Roman" w:eastAsia="宋体" w:hAnsi="Times New Roman" w:hint="eastAsia"/>
          <w:color w:val="auto"/>
          <w:sz w:val="24"/>
          <w:highlight w:val="none"/>
        </w:rPr>
        <w:t>平方千米区域面积，</w:t>
      </w:r>
      <w:r>
        <w:rPr>
          <w:rFonts w:ascii="Times New Roman" w:eastAsia="宋体" w:hAnsi="Times New Roman"/>
          <w:color w:val="auto"/>
          <w:sz w:val="24"/>
          <w:highlight w:val="none"/>
        </w:rPr>
        <w:t>44.3</w:t>
      </w:r>
      <w:r>
        <w:rPr>
          <w:rFonts w:ascii="Times New Roman" w:eastAsia="宋体" w:hAnsi="Times New Roman" w:hint="eastAsia"/>
          <w:color w:val="auto"/>
          <w:sz w:val="24"/>
          <w:highlight w:val="none"/>
        </w:rPr>
        <w:t>万人。规划站点</w:t>
      </w:r>
      <w:r>
        <w:rPr>
          <w:rFonts w:ascii="Times New Roman" w:eastAsia="宋体" w:hAnsi="Times New Roman" w:hint="eastAsia"/>
          <w:color w:val="auto"/>
          <w:sz w:val="24"/>
          <w:highlight w:val="none"/>
          <w:lang w:val="en-US" w:eastAsia="zh-CN"/>
        </w:rPr>
        <w:t>578</w:t>
      </w:r>
      <w:r>
        <w:rPr>
          <w:rFonts w:ascii="Times New Roman" w:eastAsia="宋体" w:hAnsi="Times New Roman" w:hint="eastAsia"/>
          <w:color w:val="auto"/>
          <w:sz w:val="24"/>
          <w:highlight w:val="none"/>
        </w:rPr>
        <w:t>个。</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2、县城通信基础设施规划</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一般市区/县城规划场景，周围建筑物平均高度15－30米</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5～9层</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 周围建筑物平均楼距约10－20米；一般基站附近的建筑物分布比较均匀，周围主要以9层以下建筑物为主，也可能有零星的9层以上建筑物，周边道路不算太宽。城市内具有建筑物平均高度和平均密度的区域；或经济较发达、有较多建筑物的县城和卫星城。</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一般市区/县城规划方法：以一般市区、县城场景为代表的城区，其子网格按照大型商业</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lang w:val="en-US" w:eastAsia="zh-CN"/>
        </w:rPr>
        <w:t>服</w:t>
      </w:r>
      <w:r>
        <w:rPr>
          <w:rFonts w:ascii="Times New Roman" w:eastAsia="宋体" w:hAnsi="Times New Roman" w:hint="eastAsia"/>
          <w:color w:val="auto"/>
          <w:sz w:val="24"/>
          <w:highlight w:val="none"/>
        </w:rPr>
        <w:t>务</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圈、大型景区及周边、开发区（工业园）、大学城（大型校园）、一般社区5类进行划分，划分单个子网格的区域面积宜在5~10平方公里左右。有条件的地市可以参考控规图网格。存量的平均站址规模宜在20~80左右，原则上不单独划分少于10个存量站址的子网格。</w:t>
      </w:r>
      <w:bookmarkStart w:id="26" w:name="_Toc41300039"/>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北流市：</w:t>
      </w:r>
      <w:r>
        <w:rPr>
          <w:rFonts w:ascii="Times New Roman" w:eastAsia="宋体" w:hAnsi="Times New Roman"/>
          <w:color w:val="auto"/>
          <w:sz w:val="24"/>
          <w:highlight w:val="none"/>
        </w:rPr>
        <w:t>2457</w:t>
      </w:r>
      <w:r>
        <w:rPr>
          <w:rFonts w:ascii="Times New Roman" w:eastAsia="宋体" w:hAnsi="Times New Roman" w:hint="eastAsia"/>
          <w:color w:val="auto"/>
          <w:sz w:val="24"/>
          <w:highlight w:val="none"/>
        </w:rPr>
        <w:t>平方千米区域面积，</w:t>
      </w:r>
      <w:r>
        <w:rPr>
          <w:rFonts w:ascii="Times New Roman" w:eastAsia="宋体" w:hAnsi="Times New Roman"/>
          <w:color w:val="auto"/>
          <w:sz w:val="24"/>
          <w:highlight w:val="none"/>
        </w:rPr>
        <w:t>157</w:t>
      </w:r>
      <w:r>
        <w:rPr>
          <w:rFonts w:ascii="Times New Roman" w:eastAsia="宋体" w:hAnsi="Times New Roman" w:hint="eastAsia"/>
          <w:color w:val="auto"/>
          <w:sz w:val="24"/>
          <w:highlight w:val="none"/>
        </w:rPr>
        <w:t>万人。规划站点20</w:t>
      </w:r>
      <w:r>
        <w:rPr>
          <w:rFonts w:ascii="Times New Roman" w:eastAsia="宋体" w:hAnsi="Times New Roman" w:hint="eastAsia"/>
          <w:color w:val="auto"/>
          <w:sz w:val="24"/>
          <w:highlight w:val="none"/>
          <w:lang w:val="en-US" w:eastAsia="zh-CN"/>
        </w:rPr>
        <w:t>1</w:t>
      </w:r>
      <w:r>
        <w:rPr>
          <w:rFonts w:ascii="Times New Roman" w:eastAsia="宋体" w:hAnsi="Times New Roman" w:hint="eastAsia"/>
          <w:color w:val="auto"/>
          <w:sz w:val="24"/>
          <w:highlight w:val="none"/>
        </w:rPr>
        <w:t>9个。</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容县：</w:t>
      </w:r>
      <w:r>
        <w:rPr>
          <w:rFonts w:ascii="Times New Roman" w:eastAsia="宋体" w:hAnsi="Times New Roman"/>
          <w:color w:val="auto"/>
          <w:sz w:val="24"/>
          <w:highlight w:val="none"/>
        </w:rPr>
        <w:t>2257.39</w:t>
      </w:r>
      <w:r>
        <w:rPr>
          <w:rFonts w:ascii="Times New Roman" w:eastAsia="宋体" w:hAnsi="Times New Roman" w:hint="eastAsia"/>
          <w:color w:val="auto"/>
          <w:sz w:val="24"/>
          <w:highlight w:val="none"/>
        </w:rPr>
        <w:t>平方千米区域面积，</w:t>
      </w:r>
      <w:r>
        <w:rPr>
          <w:rFonts w:ascii="Times New Roman" w:eastAsia="宋体" w:hAnsi="Times New Roman"/>
          <w:color w:val="auto"/>
          <w:sz w:val="24"/>
          <w:highlight w:val="none"/>
        </w:rPr>
        <w:t>87</w:t>
      </w:r>
      <w:r>
        <w:rPr>
          <w:rFonts w:ascii="Times New Roman" w:eastAsia="宋体" w:hAnsi="Times New Roman" w:hint="eastAsia"/>
          <w:color w:val="auto"/>
          <w:sz w:val="24"/>
          <w:highlight w:val="none"/>
        </w:rPr>
        <w:t>万人。规划站点13</w:t>
      </w:r>
      <w:r>
        <w:rPr>
          <w:rFonts w:ascii="Times New Roman" w:eastAsia="宋体" w:hAnsi="Times New Roman" w:hint="eastAsia"/>
          <w:color w:val="auto"/>
          <w:sz w:val="24"/>
          <w:highlight w:val="none"/>
          <w:lang w:val="en-US" w:eastAsia="zh-CN"/>
        </w:rPr>
        <w:t>76</w:t>
      </w:r>
      <w:r>
        <w:rPr>
          <w:rFonts w:ascii="Times New Roman" w:eastAsia="宋体" w:hAnsi="Times New Roman" w:hint="eastAsia"/>
          <w:color w:val="auto"/>
          <w:sz w:val="24"/>
          <w:highlight w:val="none"/>
        </w:rPr>
        <w:t>个。</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博白县：</w:t>
      </w:r>
      <w:r>
        <w:rPr>
          <w:rFonts w:ascii="Times New Roman" w:eastAsia="宋体" w:hAnsi="Times New Roman"/>
          <w:color w:val="auto"/>
          <w:sz w:val="24"/>
          <w:highlight w:val="none"/>
        </w:rPr>
        <w:t>3835</w:t>
      </w:r>
      <w:r>
        <w:rPr>
          <w:rFonts w:ascii="Times New Roman" w:eastAsia="宋体" w:hAnsi="Times New Roman" w:hint="eastAsia"/>
          <w:color w:val="auto"/>
          <w:sz w:val="24"/>
          <w:highlight w:val="none"/>
        </w:rPr>
        <w:t>平方千米区域面积，</w:t>
      </w:r>
      <w:r>
        <w:rPr>
          <w:rFonts w:ascii="Times New Roman" w:eastAsia="宋体" w:hAnsi="Times New Roman"/>
          <w:color w:val="auto"/>
          <w:sz w:val="24"/>
          <w:highlight w:val="none"/>
        </w:rPr>
        <w:t>190</w:t>
      </w:r>
      <w:r>
        <w:rPr>
          <w:rFonts w:ascii="Times New Roman" w:eastAsia="宋体" w:hAnsi="Times New Roman" w:hint="eastAsia"/>
          <w:color w:val="auto"/>
          <w:sz w:val="24"/>
          <w:highlight w:val="none"/>
        </w:rPr>
        <w:t>万人。规划站点2</w:t>
      </w:r>
      <w:r>
        <w:rPr>
          <w:rFonts w:ascii="Times New Roman" w:eastAsia="宋体" w:hAnsi="Times New Roman" w:hint="eastAsia"/>
          <w:color w:val="auto"/>
          <w:sz w:val="24"/>
          <w:highlight w:val="none"/>
          <w:lang w:val="en-US" w:eastAsia="zh-CN"/>
        </w:rPr>
        <w:t>396</w:t>
      </w:r>
      <w:r>
        <w:rPr>
          <w:rFonts w:ascii="Times New Roman" w:eastAsia="宋体" w:hAnsi="Times New Roman" w:hint="eastAsia"/>
          <w:color w:val="auto"/>
          <w:sz w:val="24"/>
          <w:highlight w:val="none"/>
        </w:rPr>
        <w:t>个。</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陆川县：</w:t>
      </w:r>
      <w:r>
        <w:rPr>
          <w:rFonts w:ascii="Times New Roman" w:eastAsia="宋体" w:hAnsi="Times New Roman"/>
          <w:color w:val="auto"/>
          <w:sz w:val="24"/>
          <w:highlight w:val="none"/>
        </w:rPr>
        <w:t>1554</w:t>
      </w:r>
      <w:r>
        <w:rPr>
          <w:rFonts w:ascii="Times New Roman" w:eastAsia="宋体" w:hAnsi="Times New Roman" w:hint="eastAsia"/>
          <w:color w:val="auto"/>
          <w:sz w:val="24"/>
          <w:highlight w:val="none"/>
        </w:rPr>
        <w:t>平方千米区域面积，</w:t>
      </w:r>
      <w:r>
        <w:rPr>
          <w:rFonts w:ascii="Times New Roman" w:eastAsia="宋体" w:hAnsi="Times New Roman"/>
          <w:color w:val="auto"/>
          <w:sz w:val="24"/>
          <w:highlight w:val="none"/>
        </w:rPr>
        <w:t>111</w:t>
      </w:r>
      <w:r>
        <w:rPr>
          <w:rFonts w:ascii="Times New Roman" w:eastAsia="宋体" w:hAnsi="Times New Roman" w:hint="eastAsia"/>
          <w:color w:val="auto"/>
          <w:sz w:val="24"/>
          <w:highlight w:val="none"/>
        </w:rPr>
        <w:t>万人。规划站点11</w:t>
      </w:r>
      <w:r>
        <w:rPr>
          <w:rFonts w:ascii="Times New Roman" w:eastAsia="宋体" w:hAnsi="Times New Roman" w:hint="eastAsia"/>
          <w:color w:val="auto"/>
          <w:sz w:val="24"/>
          <w:highlight w:val="none"/>
          <w:lang w:val="en-US" w:eastAsia="zh-CN"/>
        </w:rPr>
        <w:t>34</w:t>
      </w:r>
      <w:r>
        <w:rPr>
          <w:rFonts w:ascii="Times New Roman" w:eastAsia="宋体" w:hAnsi="Times New Roman" w:hint="eastAsia"/>
          <w:color w:val="auto"/>
          <w:sz w:val="24"/>
          <w:highlight w:val="none"/>
        </w:rPr>
        <w:t>个。</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兴业县：</w:t>
      </w:r>
      <w:r>
        <w:rPr>
          <w:rFonts w:ascii="Times New Roman" w:eastAsia="宋体" w:hAnsi="Times New Roman"/>
          <w:color w:val="auto"/>
          <w:sz w:val="24"/>
          <w:highlight w:val="none"/>
        </w:rPr>
        <w:t>1468.38</w:t>
      </w:r>
      <w:r>
        <w:rPr>
          <w:rFonts w:ascii="Times New Roman" w:eastAsia="宋体" w:hAnsi="Times New Roman" w:hint="eastAsia"/>
          <w:color w:val="auto"/>
          <w:sz w:val="24"/>
          <w:highlight w:val="none"/>
        </w:rPr>
        <w:t>平方千米区域面积，</w:t>
      </w:r>
      <w:r>
        <w:rPr>
          <w:rFonts w:ascii="Times New Roman" w:eastAsia="宋体" w:hAnsi="Times New Roman"/>
          <w:color w:val="auto"/>
          <w:sz w:val="24"/>
          <w:highlight w:val="none"/>
        </w:rPr>
        <w:t>76.13</w:t>
      </w:r>
      <w:r>
        <w:rPr>
          <w:rFonts w:ascii="Times New Roman" w:eastAsia="宋体" w:hAnsi="Times New Roman" w:hint="eastAsia"/>
          <w:color w:val="auto"/>
          <w:sz w:val="24"/>
          <w:highlight w:val="none"/>
        </w:rPr>
        <w:t>万人。规划站点10</w:t>
      </w:r>
      <w:r>
        <w:rPr>
          <w:rFonts w:ascii="Times New Roman" w:eastAsia="宋体" w:hAnsi="Times New Roman" w:hint="eastAsia"/>
          <w:color w:val="auto"/>
          <w:sz w:val="24"/>
          <w:highlight w:val="none"/>
          <w:lang w:val="en-US" w:eastAsia="zh-CN"/>
        </w:rPr>
        <w:t>60</w:t>
      </w:r>
      <w:r>
        <w:rPr>
          <w:rFonts w:ascii="Times New Roman" w:eastAsia="宋体" w:hAnsi="Times New Roman" w:hint="eastAsia"/>
          <w:color w:val="auto"/>
          <w:sz w:val="24"/>
          <w:highlight w:val="none"/>
        </w:rPr>
        <w:t>个。</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3、乡镇、农村通信基础设施规划</w:t>
      </w:r>
      <w:bookmarkEnd w:id="26"/>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对于乡镇、农村规划场景考虑如下：</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（1）乡镇：城市边缘地区或乡镇中心区，周围建筑物平均高度10－15米</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3～5层</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 周围建筑物平均楼距约30－50米；一般基站附近的建筑物分布比较均匀，周围主要以3～4层建筑物为主，也可能有零星的4层以上建筑物，建筑物之间有较宽的空间。一般为城市边缘的城乡结合部、工业区以及远离中心城市的乡镇，区域内建筑物稀疏，基本上无高层建筑。</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（2）农村：包括村落、农场、林场等，一般农村人口呈散落居住，建筑物稀疏，平均高度3-6米；发达农村（如新农村）形成的大规模村落聚居地，建筑物布局整齐，平均高度6－9米</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2～3层</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，一般情况下建筑物之间有较宽的空间。网络信号覆盖一般受地形起伏影响较大，由建筑物对信号的影响较小。</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樟木镇：</w:t>
      </w:r>
      <w:r>
        <w:rPr>
          <w:rFonts w:ascii="Times New Roman" w:eastAsia="宋体" w:hAnsi="Times New Roman"/>
          <w:color w:val="auto"/>
          <w:sz w:val="24"/>
          <w:highlight w:val="none"/>
        </w:rPr>
        <w:t>218</w:t>
      </w:r>
      <w:r>
        <w:rPr>
          <w:rFonts w:ascii="Times New Roman" w:eastAsia="宋体" w:hAnsi="Times New Roman" w:hint="eastAsia"/>
          <w:color w:val="auto"/>
          <w:sz w:val="24"/>
          <w:highlight w:val="none"/>
        </w:rPr>
        <w:t>平方公里区域面积，规划站点</w:t>
      </w:r>
      <w:r>
        <w:rPr>
          <w:rFonts w:ascii="Times New Roman" w:eastAsia="宋体" w:hAnsi="Times New Roman"/>
          <w:color w:val="auto"/>
          <w:sz w:val="24"/>
          <w:highlight w:val="none"/>
        </w:rPr>
        <w:t>66</w:t>
      </w:r>
      <w:r>
        <w:rPr>
          <w:rFonts w:ascii="Times New Roman" w:eastAsia="宋体" w:hAnsi="Times New Roman" w:hint="eastAsia"/>
          <w:color w:val="auto"/>
          <w:sz w:val="24"/>
          <w:highlight w:val="none"/>
        </w:rPr>
        <w:t>个。</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龙潭镇：</w:t>
      </w:r>
      <w:r>
        <w:rPr>
          <w:rFonts w:ascii="Times New Roman" w:eastAsia="宋体" w:hAnsi="Times New Roman"/>
          <w:color w:val="auto"/>
          <w:sz w:val="24"/>
          <w:highlight w:val="none"/>
        </w:rPr>
        <w:t>159.69</w:t>
      </w:r>
      <w:r>
        <w:rPr>
          <w:rFonts w:ascii="Times New Roman" w:eastAsia="宋体" w:hAnsi="Times New Roman" w:hint="eastAsia"/>
          <w:color w:val="auto"/>
          <w:sz w:val="24"/>
          <w:highlight w:val="none"/>
        </w:rPr>
        <w:t>平方公里区域面积，规划站点</w:t>
      </w:r>
      <w:r>
        <w:rPr>
          <w:rFonts w:ascii="Times New Roman" w:eastAsia="宋体" w:hAnsi="Times New Roman"/>
          <w:color w:val="auto"/>
          <w:sz w:val="24"/>
          <w:highlight w:val="none"/>
        </w:rPr>
        <w:t>165</w:t>
      </w:r>
      <w:r>
        <w:rPr>
          <w:rFonts w:ascii="Times New Roman" w:eastAsia="宋体" w:hAnsi="Times New Roman" w:hint="eastAsia"/>
          <w:color w:val="auto"/>
          <w:sz w:val="24"/>
          <w:highlight w:val="none"/>
        </w:rPr>
        <w:t>个。</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4、开发区通信基站基础设施规划</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（1）对乡镇场景的子网格按照镇区、开发区（工业园）2类进行划分，其单个子网格的区域面积宜在5~10平方公里左右。存量的平均站址规模宜在20~80左右，原则上不单独划分少于10个存量站址的子网格。</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（2）对农村场景的子网格按照开发区（工业园）、大型景区及周边、行政村3类进行划分，其中行政村子网格的划分标准是以乡镇行政边界内的所有行政村作为一个子网格，存量站址数量不做限制。</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玉林龙潭产业园：</w:t>
      </w:r>
      <w:r>
        <w:rPr>
          <w:rFonts w:ascii="Times New Roman" w:eastAsia="宋体" w:hAnsi="Times New Roman"/>
          <w:color w:val="auto"/>
          <w:sz w:val="24"/>
          <w:highlight w:val="none"/>
        </w:rPr>
        <w:t>159.69</w:t>
      </w:r>
      <w:r>
        <w:rPr>
          <w:rFonts w:ascii="Times New Roman" w:eastAsia="宋体" w:hAnsi="Times New Roman" w:hint="eastAsia"/>
          <w:color w:val="auto"/>
          <w:sz w:val="24"/>
          <w:highlight w:val="none"/>
        </w:rPr>
        <w:t>平方公里区域面积，</w:t>
      </w:r>
      <w:r>
        <w:rPr>
          <w:rFonts w:ascii="Times New Roman" w:eastAsia="宋体" w:hAnsi="Times New Roman"/>
          <w:color w:val="auto"/>
          <w:sz w:val="24"/>
          <w:highlight w:val="none"/>
        </w:rPr>
        <w:t>10.5</w:t>
      </w:r>
      <w:r>
        <w:rPr>
          <w:rFonts w:ascii="Times New Roman" w:eastAsia="宋体" w:hAnsi="Times New Roman" w:hint="eastAsia"/>
          <w:color w:val="auto"/>
          <w:sz w:val="24"/>
          <w:highlight w:val="none"/>
        </w:rPr>
        <w:t>万人，</w:t>
      </w:r>
      <w:r>
        <w:rPr>
          <w:rFonts w:ascii="Times New Roman" w:eastAsia="宋体" w:hAnsi="Times New Roman"/>
          <w:color w:val="auto"/>
          <w:sz w:val="24"/>
          <w:highlight w:val="none"/>
        </w:rPr>
        <w:t>产业园主要以承接产业转移、发展临港型产业，建设海峡两岸</w:t>
      </w:r>
      <w:r>
        <w:rPr>
          <w:rFonts w:ascii="Times New Roman" w:eastAsia="宋体" w:hAnsi="Times New Roman" w:hint="eastAsia"/>
          <w:color w:val="auto"/>
          <w:sz w:val="24"/>
          <w:highlight w:val="none"/>
          <w:lang w:eastAsia="zh-CN"/>
        </w:rPr>
        <w:t>（</w:t>
      </w:r>
      <w:r>
        <w:rPr>
          <w:rFonts w:ascii="Times New Roman" w:eastAsia="宋体" w:hAnsi="Times New Roman"/>
          <w:color w:val="auto"/>
          <w:sz w:val="24"/>
          <w:highlight w:val="none"/>
        </w:rPr>
        <w:t>广西玉林</w:t>
      </w:r>
      <w:r>
        <w:rPr>
          <w:rFonts w:ascii="Times New Roman" w:eastAsia="宋体" w:hAnsi="Times New Roman" w:hint="eastAsia"/>
          <w:color w:val="auto"/>
          <w:sz w:val="24"/>
          <w:highlight w:val="none"/>
          <w:lang w:eastAsia="zh-CN"/>
        </w:rPr>
        <w:t>）</w:t>
      </w:r>
      <w:r>
        <w:rPr>
          <w:rFonts w:ascii="Times New Roman" w:eastAsia="宋体" w:hAnsi="Times New Roman"/>
          <w:color w:val="auto"/>
          <w:sz w:val="24"/>
          <w:highlight w:val="none"/>
        </w:rPr>
        <w:t>农业合作试验区为重点，着力打造以有色金属冶炼、加工以及物流、仓储为主的产业基地</w:t>
      </w:r>
      <w:r>
        <w:rPr>
          <w:rFonts w:ascii="Times New Roman" w:eastAsia="宋体" w:hAnsi="Times New Roman" w:hint="eastAsia"/>
          <w:color w:val="auto"/>
          <w:sz w:val="24"/>
          <w:highlight w:val="none"/>
        </w:rPr>
        <w:t>。规划站点</w:t>
      </w:r>
      <w:r>
        <w:rPr>
          <w:rFonts w:ascii="Times New Roman" w:eastAsia="宋体" w:hAnsi="Times New Roman" w:hint="eastAsia"/>
          <w:color w:val="auto"/>
          <w:sz w:val="24"/>
          <w:highlight w:val="none"/>
          <w:lang w:val="en-US" w:eastAsia="zh-CN"/>
        </w:rPr>
        <w:t>505</w:t>
      </w:r>
      <w:r>
        <w:rPr>
          <w:rFonts w:ascii="Times New Roman" w:eastAsia="宋体" w:hAnsi="Times New Roman" w:hint="eastAsia"/>
          <w:color w:val="auto"/>
          <w:sz w:val="24"/>
          <w:highlight w:val="none"/>
        </w:rPr>
        <w:t>个。</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5、风景旅游区通信基站基础设施规划</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对于布置在公园绿地、防护绿地内的基站，建设时应与绿地管理单位或主要使用单位沟通，落实相关事宜。对基站建设过程中造成的相关损失，应给予相应赔偿；因基站建设需移植绿化植物的，应按规定办理审批手续，并承担移植相关费用。公共绿地管理单位或主要使用单位，应当支持基站设置建设并提供便利。</w:t>
      </w:r>
    </w:p>
    <w:p>
      <w:pPr>
        <w:widowControl/>
        <w:spacing w:line="240" w:lineRule="auto"/>
        <w:ind w:left="0" w:firstLine="480"/>
        <w:rPr>
          <w:rFonts w:ascii="宋体" w:hAnsi="宋体" w:hint="eastAsia"/>
          <w:color w:val="auto"/>
          <w:sz w:val="24"/>
          <w:szCs w:val="24"/>
          <w:highlight w:val="none"/>
        </w:rPr>
      </w:pPr>
      <w:r>
        <w:rPr>
          <w:rFonts w:ascii="宋体" w:hAnsi="宋体" w:hint="eastAsia"/>
          <w:color w:val="auto"/>
          <w:sz w:val="24"/>
          <w:szCs w:val="24"/>
          <w:highlight w:val="none"/>
        </w:rPr>
        <w:t>大容山森林公园大型公园景区：</w:t>
      </w:r>
      <w:r>
        <w:rPr>
          <w:rFonts w:ascii="宋体" w:hAnsi="宋体"/>
          <w:color w:val="auto"/>
          <w:sz w:val="24"/>
          <w:szCs w:val="24"/>
          <w:highlight w:val="none"/>
        </w:rPr>
        <w:t>位于广西北流市境内。大容山的主峰莲花顶海拔</w:t>
      </w:r>
      <w:r>
        <w:rPr>
          <w:rFonts w:ascii="Times New Roman" w:hAnsi="Times New Roman"/>
          <w:color w:val="auto"/>
          <w:sz w:val="24"/>
          <w:szCs w:val="24"/>
          <w:highlight w:val="none"/>
        </w:rPr>
        <w:t>1275.6</w:t>
      </w:r>
      <w:r>
        <w:rPr>
          <w:rFonts w:ascii="宋体" w:hAnsi="宋体"/>
          <w:color w:val="auto"/>
          <w:sz w:val="24"/>
          <w:szCs w:val="24"/>
          <w:highlight w:val="none"/>
        </w:rPr>
        <w:t>米，公园总面积</w:t>
      </w:r>
      <w:r>
        <w:rPr>
          <w:rFonts w:ascii="Times New Roman" w:hAnsi="Times New Roman"/>
          <w:color w:val="auto"/>
          <w:sz w:val="24"/>
          <w:szCs w:val="24"/>
          <w:highlight w:val="none"/>
        </w:rPr>
        <w:t>2930</w:t>
      </w:r>
      <w:r>
        <w:rPr>
          <w:rFonts w:ascii="宋体" w:hAnsi="宋体"/>
          <w:color w:val="auto"/>
          <w:sz w:val="24"/>
          <w:szCs w:val="24"/>
          <w:highlight w:val="none"/>
        </w:rPr>
        <w:t>公顷，距玉林城区</w:t>
      </w:r>
      <w:r>
        <w:rPr>
          <w:rFonts w:ascii="Times New Roman" w:hAnsi="Times New Roman"/>
          <w:color w:val="auto"/>
          <w:sz w:val="24"/>
          <w:szCs w:val="24"/>
          <w:highlight w:val="none"/>
        </w:rPr>
        <w:t>46</w:t>
      </w:r>
      <w:r>
        <w:rPr>
          <w:rFonts w:ascii="宋体" w:hAnsi="宋体"/>
          <w:color w:val="auto"/>
          <w:sz w:val="24"/>
          <w:szCs w:val="24"/>
          <w:highlight w:val="none"/>
        </w:rPr>
        <w:t>公里，北流</w:t>
      </w:r>
      <w:r>
        <w:rPr>
          <w:rFonts w:ascii="Times New Roman" w:hAnsi="Times New Roman"/>
          <w:color w:val="auto"/>
          <w:sz w:val="24"/>
          <w:szCs w:val="24"/>
          <w:highlight w:val="none"/>
        </w:rPr>
        <w:t>23</w:t>
      </w:r>
      <w:r>
        <w:rPr>
          <w:rFonts w:ascii="宋体" w:hAnsi="宋体"/>
          <w:color w:val="auto"/>
          <w:sz w:val="24"/>
          <w:szCs w:val="24"/>
          <w:highlight w:val="none"/>
        </w:rPr>
        <w:t>公里，为桂东南第一峰，史称南方西岳</w:t>
      </w:r>
      <w:r>
        <w:rPr>
          <w:rFonts w:ascii="宋体" w:hAnsi="宋体" w:hint="eastAsia"/>
          <w:color w:val="auto"/>
          <w:sz w:val="24"/>
          <w:szCs w:val="24"/>
          <w:highlight w:val="none"/>
        </w:rPr>
        <w:t>，亦国家批准为国家级森林公园，国家</w:t>
      </w:r>
      <w:r>
        <w:rPr>
          <w:rFonts w:ascii="Times New Roman" w:hAnsi="Times New Roman" w:hint="eastAsia"/>
          <w:color w:val="auto"/>
          <w:sz w:val="24"/>
          <w:szCs w:val="24"/>
          <w:highlight w:val="none"/>
        </w:rPr>
        <w:t>4</w:t>
      </w:r>
      <w:r>
        <w:rPr>
          <w:rFonts w:ascii="Times New Roman" w:hAnsi="Times New Roman"/>
          <w:color w:val="auto"/>
          <w:sz w:val="24"/>
          <w:szCs w:val="24"/>
          <w:highlight w:val="none"/>
        </w:rPr>
        <w:t>A</w:t>
      </w:r>
      <w:r>
        <w:rPr>
          <w:rFonts w:ascii="宋体" w:hAnsi="宋体" w:hint="eastAsia"/>
          <w:color w:val="auto"/>
          <w:sz w:val="24"/>
          <w:szCs w:val="24"/>
          <w:highlight w:val="none"/>
        </w:rPr>
        <w:t>级旅游景区。规划站点</w:t>
      </w:r>
      <w:r>
        <w:rPr>
          <w:rFonts w:ascii="Times New Roman" w:hAnsi="Times New Roman"/>
          <w:color w:val="auto"/>
          <w:sz w:val="24"/>
          <w:szCs w:val="24"/>
          <w:highlight w:val="none"/>
        </w:rPr>
        <w:t>13</w:t>
      </w:r>
      <w:r>
        <w:rPr>
          <w:rFonts w:ascii="宋体" w:hAnsi="宋体" w:hint="eastAsia"/>
          <w:color w:val="auto"/>
          <w:sz w:val="24"/>
          <w:szCs w:val="24"/>
          <w:highlight w:val="none"/>
        </w:rPr>
        <w:t>个。</w:t>
      </w: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rPr>
        <w:t>福绵区六万大山森林公园是国家4A级旅游景区，自治区四星级乡村旅游景区</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位于广西国有六万林场河嵩分场林区内，距玉林市37公里，规划站点7个。</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6、高速公路及铁路通信基站基础设施规划</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湛江高速公路，简称“玉湛高速”，是中国境内一条连接广西壮族自治区玉林市和广东省湛江市的高速公路，为广东省高速公路网9条出省通道之一，北起广西壮族自治区玉林市陆川县马坡镇</w:t>
      </w:r>
      <w:r>
        <w:rPr>
          <w:rFonts w:ascii="Times New Roman" w:eastAsia="宋体" w:hAnsi="Times New Roman"/>
          <w:color w:val="auto"/>
          <w:sz w:val="24"/>
          <w:highlight w:val="none"/>
        </w:rPr>
        <w:t>，南至广东省湛江市东海岛东山镇</w:t>
      </w:r>
      <w:r>
        <w:rPr>
          <w:rFonts w:ascii="Times New Roman" w:eastAsia="宋体" w:hAnsi="Times New Roman" w:hint="eastAsia"/>
          <w:color w:val="auto"/>
          <w:sz w:val="24"/>
          <w:highlight w:val="none"/>
        </w:rPr>
        <w:t>全长145公里，其中玉林段长</w:t>
      </w:r>
      <w:r>
        <w:rPr>
          <w:rFonts w:ascii="Times New Roman" w:eastAsia="宋体" w:hAnsi="Times New Roman"/>
          <w:color w:val="auto"/>
          <w:sz w:val="24"/>
          <w:highlight w:val="none"/>
        </w:rPr>
        <w:t>74.86</w:t>
      </w:r>
      <w:r>
        <w:rPr>
          <w:rFonts w:ascii="Times New Roman" w:eastAsia="宋体" w:hAnsi="Times New Roman" w:hint="eastAsia"/>
          <w:color w:val="auto"/>
          <w:sz w:val="24"/>
          <w:highlight w:val="none"/>
        </w:rPr>
        <w:t>1公里。已有4G存量站48个，已规划5G基站44个。</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玉铁高速，玉铁高速是新增国家高速公路“呼和浩特～北海”（G59）的组成部分，是国家高速公路网广州至昆明高速公路和兰州至海口高速公路的连接线，是玉林绕城高速公路组成部分，是中国-东盟自由贸易区、</w:t>
      </w:r>
      <w:r>
        <w:rPr>
          <w:rFonts w:ascii="Times New Roman" w:eastAsia="宋体" w:hAnsi="Times New Roman"/>
          <w:color w:val="auto"/>
          <w:highlight w:val="none"/>
        </w:rPr>
        <w:fldChar w:fldCharType="begin"/>
      </w:r>
      <w:r>
        <w:rPr>
          <w:rFonts w:ascii="Times New Roman" w:eastAsia="宋体" w:hAnsi="Times New Roman"/>
          <w:color w:val="auto"/>
          <w:highlight w:val="none"/>
        </w:rPr>
        <w:instrText xml:space="preserve"> HYPERLINK "https://baike.baidu.com/item/%E6%B3%9B%E7%8F%A0%E4%B8%89%E8%A7%92%E5%8C%BA%E5%9F%9F/10856124" \t "https://baike.baidu.com/item/%E7%8E%89%E9%93%81%E9%AB%98%E9%80%9F%E5%85%AC%E8%B7%AF/_blank" </w:instrText>
      </w:r>
      <w:r>
        <w:rPr>
          <w:rFonts w:ascii="Times New Roman" w:eastAsia="宋体" w:hAnsi="Times New Roman"/>
          <w:color w:val="auto"/>
          <w:highlight w:val="none"/>
        </w:rPr>
        <w:fldChar w:fldCharType="separate"/>
      </w:r>
      <w:r>
        <w:rPr>
          <w:rFonts w:ascii="Times New Roman" w:eastAsia="宋体" w:hAnsi="Times New Roman"/>
          <w:color w:val="auto"/>
          <w:sz w:val="24"/>
          <w:highlight w:val="none"/>
        </w:rPr>
        <w:t>泛珠三角区域</w:t>
      </w:r>
      <w:r>
        <w:rPr>
          <w:rFonts w:ascii="Times New Roman" w:eastAsia="宋体" w:hAnsi="Times New Roman"/>
          <w:color w:val="auto"/>
          <w:sz w:val="24"/>
          <w:highlight w:val="none"/>
        </w:rPr>
        <w:fldChar w:fldCharType="end"/>
      </w:r>
      <w:r>
        <w:rPr>
          <w:rFonts w:ascii="Times New Roman" w:eastAsia="宋体" w:hAnsi="Times New Roman"/>
          <w:color w:val="auto"/>
          <w:sz w:val="24"/>
          <w:highlight w:val="none"/>
        </w:rPr>
        <w:t>的重要运输通道，是广西“四纵六横”公路网的重要组成部分。路线全长约177公里</w:t>
      </w:r>
      <w:r>
        <w:rPr>
          <w:rFonts w:ascii="Times New Roman" w:eastAsia="宋体" w:hAnsi="Times New Roman" w:hint="eastAsia"/>
          <w:color w:val="auto"/>
          <w:sz w:val="24"/>
          <w:highlight w:val="none"/>
        </w:rPr>
        <w:t>，</w:t>
      </w:r>
      <w:r>
        <w:rPr>
          <w:rFonts w:ascii="Times New Roman" w:eastAsia="宋体" w:hAnsi="Times New Roman"/>
          <w:color w:val="auto"/>
          <w:sz w:val="24"/>
          <w:highlight w:val="none"/>
        </w:rPr>
        <w:t>其中玉林段长63.992公里</w:t>
      </w:r>
      <w:r>
        <w:rPr>
          <w:rFonts w:ascii="Times New Roman" w:eastAsia="宋体" w:hAnsi="Times New Roman" w:hint="eastAsia"/>
          <w:color w:val="auto"/>
          <w:sz w:val="24"/>
          <w:highlight w:val="none"/>
        </w:rPr>
        <w:t>。已有4G存量站56个，已规划5G基站</w:t>
      </w:r>
      <w:r>
        <w:rPr>
          <w:rFonts w:ascii="Times New Roman" w:eastAsia="宋体" w:hAnsi="Times New Roman"/>
          <w:color w:val="auto"/>
          <w:sz w:val="24"/>
          <w:highlight w:val="none"/>
        </w:rPr>
        <w:t>29</w:t>
      </w:r>
      <w:r>
        <w:rPr>
          <w:rFonts w:ascii="Times New Roman" w:eastAsia="宋体" w:hAnsi="Times New Roman" w:hint="eastAsia"/>
          <w:color w:val="auto"/>
          <w:sz w:val="24"/>
          <w:highlight w:val="none"/>
        </w:rPr>
        <w:t>个。</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color w:val="auto"/>
          <w:sz w:val="24"/>
          <w:highlight w:val="none"/>
        </w:rPr>
        <w:t>荔玉高速公路是《广西高速公路网规划》</w:t>
      </w:r>
      <w:r>
        <w:rPr>
          <w:rFonts w:ascii="Times New Roman" w:eastAsia="宋体" w:hAnsi="Times New Roman" w:hint="eastAsia"/>
          <w:color w:val="auto"/>
          <w:sz w:val="24"/>
          <w:highlight w:val="none"/>
          <w:lang w:eastAsia="zh-CN"/>
        </w:rPr>
        <w:t>“</w:t>
      </w:r>
      <w:r>
        <w:rPr>
          <w:rFonts w:ascii="Times New Roman" w:eastAsia="宋体" w:hAnsi="Times New Roman"/>
          <w:color w:val="auto"/>
          <w:sz w:val="24"/>
          <w:highlight w:val="none"/>
        </w:rPr>
        <w:t>四纵六横三支线</w:t>
      </w:r>
      <w:r>
        <w:rPr>
          <w:rFonts w:ascii="Times New Roman" w:eastAsia="宋体" w:hAnsi="Times New Roman" w:hint="eastAsia"/>
          <w:color w:val="auto"/>
          <w:sz w:val="24"/>
          <w:highlight w:val="none"/>
          <w:lang w:eastAsia="zh-CN"/>
        </w:rPr>
        <w:t>”</w:t>
      </w:r>
      <w:r>
        <w:rPr>
          <w:rFonts w:ascii="Times New Roman" w:eastAsia="宋体" w:hAnsi="Times New Roman"/>
          <w:color w:val="auto"/>
          <w:sz w:val="24"/>
          <w:highlight w:val="none"/>
        </w:rPr>
        <w:t>布局中</w:t>
      </w:r>
      <w:r>
        <w:rPr>
          <w:rFonts w:ascii="Times New Roman" w:eastAsia="宋体" w:hAnsi="Times New Roman" w:hint="eastAsia"/>
          <w:color w:val="auto"/>
          <w:sz w:val="24"/>
          <w:highlight w:val="none"/>
          <w:lang w:eastAsia="zh-CN"/>
        </w:rPr>
        <w:t>“</w:t>
      </w:r>
      <w:r>
        <w:rPr>
          <w:rFonts w:ascii="Times New Roman" w:eastAsia="宋体" w:hAnsi="Times New Roman"/>
          <w:color w:val="auto"/>
          <w:sz w:val="24"/>
          <w:highlight w:val="none"/>
        </w:rPr>
        <w:t>纵二</w:t>
      </w:r>
      <w:r>
        <w:rPr>
          <w:rFonts w:ascii="Times New Roman" w:eastAsia="宋体" w:hAnsi="Times New Roman" w:hint="eastAsia"/>
          <w:color w:val="auto"/>
          <w:sz w:val="24"/>
          <w:highlight w:val="none"/>
          <w:lang w:eastAsia="zh-CN"/>
        </w:rPr>
        <w:t>”</w:t>
      </w:r>
      <w:r>
        <w:rPr>
          <w:rFonts w:ascii="Times New Roman" w:eastAsia="宋体" w:hAnsi="Times New Roman"/>
          <w:color w:val="auto"/>
          <w:sz w:val="24"/>
          <w:highlight w:val="none"/>
        </w:rPr>
        <w:t>荔浦至铁山港高速公路的组成部分，也是国家高速公路网G59广西境段重要组成部分。</w:t>
      </w:r>
      <w:r>
        <w:rPr>
          <w:rFonts w:ascii="Times New Roman" w:eastAsia="宋体" w:hAnsi="Times New Roman" w:hint="eastAsia"/>
          <w:color w:val="auto"/>
          <w:sz w:val="24"/>
          <w:highlight w:val="none"/>
          <w:lang w:val="en-US" w:eastAsia="zh-CN"/>
        </w:rPr>
        <w:t>该</w:t>
      </w:r>
      <w:r>
        <w:rPr>
          <w:rFonts w:ascii="Times New Roman" w:eastAsia="宋体" w:hAnsi="Times New Roman"/>
          <w:color w:val="auto"/>
          <w:sz w:val="24"/>
          <w:highlight w:val="none"/>
        </w:rPr>
        <w:t>项目成为桂林、梧州、玉林通往北海、湛江等沿海城市最便捷的高速公路通道，对于加快区域一体化步伐、促进经济社会发展具有重要意义。荔玉高速公路全长261.7公里</w:t>
      </w:r>
      <w:r>
        <w:rPr>
          <w:rFonts w:ascii="Times New Roman" w:eastAsia="宋体" w:hAnsi="Times New Roman" w:hint="eastAsia"/>
          <w:color w:val="auto"/>
          <w:sz w:val="24"/>
          <w:highlight w:val="none"/>
        </w:rPr>
        <w:t>。</w:t>
      </w:r>
      <w:bookmarkStart w:id="27" w:name="_Hlk55261997"/>
      <w:r>
        <w:rPr>
          <w:rFonts w:ascii="Times New Roman" w:eastAsia="宋体" w:hAnsi="Times New Roman" w:hint="eastAsia"/>
          <w:color w:val="auto"/>
          <w:sz w:val="24"/>
          <w:highlight w:val="none"/>
        </w:rPr>
        <w:t>已有4G存量站24个，已规划5G基站34个。</w:t>
      </w:r>
      <w:bookmarkEnd w:id="27"/>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南梧高速，</w:t>
      </w:r>
      <w:r>
        <w:rPr>
          <w:rFonts w:ascii="Times New Roman" w:eastAsia="宋体" w:hAnsi="Times New Roman"/>
          <w:color w:val="auto"/>
          <w:sz w:val="24"/>
          <w:highlight w:val="none"/>
        </w:rPr>
        <w:t>南梧高速公路由六景至兴业、岑溪至兴业、岑溪至梧州等三条高速公路组合而成，是南宁与桂东、珠三角等地区的重要大通道。路线全长约344公里</w:t>
      </w:r>
      <w:r>
        <w:rPr>
          <w:rFonts w:ascii="Times New Roman" w:eastAsia="宋体" w:hAnsi="Times New Roman" w:hint="eastAsia"/>
          <w:color w:val="auto"/>
          <w:sz w:val="24"/>
          <w:highlight w:val="none"/>
        </w:rPr>
        <w:t>。已有4G存量站119个，已规划5G基站65个。</w:t>
      </w: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rPr>
        <w:t>浦清高速公路西起广西钦州市浦北县，顺接大塘至浦北高速公路终点，向东经玉林市博白县、陆川县、北流市，共经两地区、4县市、14个乡镇49个行政村，东至玉林市北流市清湾镇，接广东省罗定至信宜（粤桂界）高速公路，是国家西部大开发、推进“一带一路”建设的重点项目，是广西东融发展、拥抱粤港澳大湾区的重要出省经济大通道，是2018年修编的《广西高速公路网规划（2018～2030）》中高速公路网布局方案中“横10”的重要组成部分，浦清高速公路线路全长125.654km，总投资144.26亿元，双向四车道、设计速度120km/h、路基宽度26.5m。已有4G存量站2</w:t>
      </w:r>
      <w:r>
        <w:rPr>
          <w:rFonts w:ascii="Times New Roman" w:eastAsia="宋体" w:hAnsi="Times New Roman"/>
          <w:color w:val="auto"/>
          <w:sz w:val="24"/>
          <w:highlight w:val="none"/>
        </w:rPr>
        <w:t>6</w:t>
      </w:r>
      <w:r>
        <w:rPr>
          <w:rFonts w:ascii="Times New Roman" w:eastAsia="宋体" w:hAnsi="Times New Roman" w:hint="eastAsia"/>
          <w:color w:val="auto"/>
          <w:sz w:val="24"/>
          <w:highlight w:val="none"/>
        </w:rPr>
        <w:t>个，已规划5G基站52个。</w:t>
      </w:r>
    </w:p>
    <w:p>
      <w:pPr>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北流至化州宝圩高速公路（广西段）是《广西高速公路网规划</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2018-2030年</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布局方案中“联络线11”，北化高速项目起于玉林北流市，向南进入广东茂名市，全线设置互通式立体交叉9处，其中枢纽互通式立体交叉3处（山围枢纽、平政枢纽、清湾枢纽），一般式互通6处（民安互通、新荣互通、清水口互通、隆盛互通、新丰互通、六靖互通）</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设置清水口、新丰2条连接线，路线长度约86公里，总投资约119亿元。已有4G存量站19个，已规划5G基站12个。</w:t>
      </w:r>
    </w:p>
    <w:p>
      <w:pPr>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全州</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湘桂界</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至容县</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粤桂界</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公路</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平南至容县段</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位于广西中东部，起点位于平南县丹竹镇家吕屯附近，接梧州至柳州高速公路，经武林镇、大安镇、大新镇、大坡镇、寺面镇、平山镇进入容县境内，经罗江镇、松山镇、容州镇，终于容州镇佛子塘附近，接G80广昆高速公路。路线全长85.363公里，其中平南至容县（容县段）全长约26公里，已有4G存量站5个，已规划5G基站6个。</w:t>
      </w:r>
    </w:p>
    <w:p>
      <w:pPr>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梧州经玉林至钦州高速公路是《广西高速公路网规划（2018～2030）》中连接广西东南部重要核心城市梧州市、玉林市、钦州市的高速联络线，路网编号为“联14”</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路线起于梧州市长洲区大同村附近，设置大同枢纽互通与G6517 梧柳高速相接，路线自东北向西南经长洲区、苍梧县、藤县、岑溪市、玉林市容县，止于容县十里镇六丰口村附近，设十里枢纽互通立交衔接G80 广昆高速岑溪至兴业段，并顺接规划中的容县至信宜高速公路。项目按双向四车道高速公路标准建设，设计速度120公里/小时，路基宽26.5米，路线主线全长105.307 公里，其中梧州段81.5公里，容县段23.5公里。两阶段施工图设计总预算为182.8545亿元，其中玉林段总投资约40.8亿元。已有4G存量站9个，已规划5G基站7个。</w:t>
      </w:r>
    </w:p>
    <w:p>
      <w:pPr>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rPr>
        <w:t>南宁至湛江高速公路是《广西高速公路网规划 (2018—2030)》中对接广东的省际通道——“联13”高速公路的重要组成部分，项目正在进行环境影响评价工作。南宁至湛江（广西段）高速公路项目位于南宁市邕宁区、钦州市灵山县、钦州市浦北县、玉林市博白县境内，起点位于邕宁区蒲庙镇，终点至玉林市那卜镇东南与广东省交界处，路线长约185公里，采用双向四车道高速公路标准建设，设计时速为120公里/小时，路基宽27米，采用沥青混凝土路面。其中南宁至湛江（玉林段）高速公路全长约44公里，</w:t>
      </w:r>
      <w:r>
        <w:rPr>
          <w:rFonts w:ascii="Times New Roman" w:eastAsia="宋体" w:hAnsi="Times New Roman" w:hint="eastAsia"/>
          <w:color w:val="auto"/>
          <w:sz w:val="24"/>
          <w:highlight w:val="none"/>
          <w:lang w:val="en-US" w:eastAsia="zh-CN"/>
        </w:rPr>
        <w:t>途经</w:t>
      </w:r>
      <w:r>
        <w:rPr>
          <w:rFonts w:ascii="Times New Roman" w:eastAsia="宋体" w:hAnsi="Times New Roman" w:hint="eastAsia"/>
          <w:color w:val="auto"/>
          <w:sz w:val="24"/>
          <w:highlight w:val="none"/>
        </w:rPr>
        <w:t>博白县菱角镇、松旺镇和那卜镇；已有4G存量站9个，已规划5G基站5个。</w:t>
      </w:r>
    </w:p>
    <w:p>
      <w:pPr>
        <w:widowControl/>
        <w:spacing w:line="240" w:lineRule="auto"/>
        <w:ind w:left="0" w:firstLine="480"/>
        <w:rPr>
          <w:rFonts w:ascii="Times New Roman" w:eastAsia="宋体" w:hAnsi="Times New Roman" w:hint="eastAsia"/>
          <w:color w:val="auto"/>
          <w:sz w:val="24"/>
          <w:highlight w:val="none"/>
          <w:lang w:eastAsia="zh-CN"/>
        </w:rPr>
      </w:pPr>
      <w:r>
        <w:rPr>
          <w:rFonts w:ascii="Times New Roman" w:eastAsia="宋体" w:hAnsi="Times New Roman" w:hint="eastAsia"/>
          <w:color w:val="auto"/>
          <w:sz w:val="24"/>
          <w:highlight w:val="none"/>
        </w:rPr>
        <w:t>岑溪（粤桂界）至大新高速公路，简称岑大高速，它为《广西高速公路网规划（2018—2030）》规划的“横九线”的重要组成部分，岑大公路全长229.14公里，是广西通往珠三角的大动脉，是广西首条一次性建成双向八车道的高标准高速公路。岑大高速由于线路较长，划分为：岑溪至南宁段；南宁至横州段；横州至玉林段；玉林至岑溪（粤桂界）段。岑大高速将与深圳至岑溪高速公路进行无缝连接。已有4G存量站</w:t>
      </w:r>
      <w:r>
        <w:rPr>
          <w:rFonts w:ascii="Times New Roman" w:eastAsia="宋体" w:hAnsi="Times New Roman" w:hint="eastAsia"/>
          <w:color w:val="auto"/>
          <w:sz w:val="24"/>
          <w:highlight w:val="none"/>
          <w:lang w:val="en-US" w:eastAsia="zh-CN"/>
        </w:rPr>
        <w:t>149</w:t>
      </w:r>
      <w:r>
        <w:rPr>
          <w:rFonts w:ascii="Times New Roman" w:eastAsia="宋体" w:hAnsi="Times New Roman" w:hint="eastAsia"/>
          <w:color w:val="auto"/>
          <w:sz w:val="24"/>
          <w:highlight w:val="none"/>
        </w:rPr>
        <w:t>个，已规划5G基站</w:t>
      </w:r>
      <w:r>
        <w:rPr>
          <w:rFonts w:ascii="Times New Roman" w:eastAsia="宋体" w:hAnsi="Times New Roman" w:hint="eastAsia"/>
          <w:color w:val="auto"/>
          <w:sz w:val="24"/>
          <w:highlight w:val="none"/>
          <w:lang w:val="en-US" w:eastAsia="zh-CN"/>
        </w:rPr>
        <w:t>76</w:t>
      </w:r>
      <w:r>
        <w:rPr>
          <w:rFonts w:ascii="Times New Roman" w:eastAsia="宋体" w:hAnsi="Times New Roman" w:hint="eastAsia"/>
          <w:color w:val="auto"/>
          <w:sz w:val="24"/>
          <w:highlight w:val="none"/>
        </w:rPr>
        <w:t>个。</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color w:val="auto"/>
          <w:sz w:val="24"/>
          <w:highlight w:val="none"/>
        </w:rPr>
        <w:t>玉铁铁路</w:t>
      </w:r>
      <w:r>
        <w:rPr>
          <w:rFonts w:ascii="Times New Roman" w:eastAsia="宋体" w:hAnsi="Times New Roman" w:hint="eastAsia"/>
          <w:color w:val="auto"/>
          <w:sz w:val="24"/>
          <w:highlight w:val="none"/>
        </w:rPr>
        <w:t>，</w:t>
      </w:r>
      <w:r>
        <w:rPr>
          <w:rFonts w:ascii="Times New Roman" w:eastAsia="宋体" w:hAnsi="Times New Roman"/>
          <w:color w:val="auto"/>
          <w:sz w:val="24"/>
          <w:highlight w:val="none"/>
        </w:rPr>
        <w:t>玉铁铁路是广西玉林至北海铁山港铁路的简称。北起黎湛铁路玉林站，南经广西陆川、博白、浦北、合浦，终与地方铁路铁山港支线相连，为国家I级电气化铁路，设计时速160公里/小时。路线全长约131.68公里</w:t>
      </w:r>
      <w:r>
        <w:rPr>
          <w:rFonts w:ascii="Times New Roman" w:eastAsia="宋体" w:hAnsi="Times New Roman" w:hint="eastAsia"/>
          <w:color w:val="auto"/>
          <w:sz w:val="24"/>
          <w:highlight w:val="none"/>
        </w:rPr>
        <w:t>。已有4G存量站</w:t>
      </w:r>
      <w:r>
        <w:rPr>
          <w:rFonts w:ascii="Times New Roman" w:eastAsia="宋体" w:hAnsi="Times New Roman"/>
          <w:color w:val="auto"/>
          <w:sz w:val="24"/>
          <w:highlight w:val="none"/>
        </w:rPr>
        <w:t>31</w:t>
      </w:r>
      <w:r>
        <w:rPr>
          <w:rFonts w:ascii="Times New Roman" w:eastAsia="宋体" w:hAnsi="Times New Roman" w:hint="eastAsia"/>
          <w:color w:val="auto"/>
          <w:sz w:val="24"/>
          <w:highlight w:val="none"/>
        </w:rPr>
        <w:t>个，已规划5G基站25个。</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南宁至玉林城际铁路，</w:t>
      </w:r>
      <w:r>
        <w:rPr>
          <w:rFonts w:ascii="Times New Roman" w:eastAsia="宋体" w:hAnsi="Times New Roman"/>
          <w:color w:val="auto"/>
          <w:sz w:val="24"/>
          <w:highlight w:val="none"/>
        </w:rPr>
        <w:t>南宁至玉林城际铁路项目是自治区2019年“一号工程”，是规划建设南宁至深圳高速铁路的广西辖区路段，是连接北部湾经济区与珠三角经济区和粤港澳大湾区的快速客运通道的重要组成部分，是广西“一环五纵五横”干线铁路网的重要组成部分，项目按时速350公里标准建设。该城际铁路自南宁东站引出，中途经过南宁港牛湾作业区下游地段，连接玉林市后通至广东深圳，铁路项目列入《广西铁路建设</w:t>
      </w:r>
      <w:r>
        <w:rPr>
          <w:rFonts w:ascii="Times New Roman" w:eastAsia="宋体" w:hAnsi="Times New Roman" w:hint="eastAsia"/>
          <w:color w:val="auto"/>
          <w:sz w:val="24"/>
          <w:highlight w:val="none"/>
          <w:lang w:eastAsia="zh-CN"/>
        </w:rPr>
        <w:t>“</w:t>
      </w:r>
      <w:r>
        <w:rPr>
          <w:rFonts w:ascii="Times New Roman" w:eastAsia="宋体" w:hAnsi="Times New Roman"/>
          <w:color w:val="auto"/>
          <w:sz w:val="24"/>
          <w:highlight w:val="none"/>
        </w:rPr>
        <w:t>十三五</w:t>
      </w:r>
      <w:r>
        <w:rPr>
          <w:rFonts w:ascii="Times New Roman" w:eastAsia="宋体" w:hAnsi="Times New Roman" w:hint="eastAsia"/>
          <w:color w:val="auto"/>
          <w:sz w:val="24"/>
          <w:highlight w:val="none"/>
          <w:lang w:eastAsia="zh-CN"/>
        </w:rPr>
        <w:t>”</w:t>
      </w:r>
      <w:r>
        <w:rPr>
          <w:rFonts w:ascii="Times New Roman" w:eastAsia="宋体" w:hAnsi="Times New Roman"/>
          <w:color w:val="auto"/>
          <w:sz w:val="24"/>
          <w:highlight w:val="none"/>
        </w:rPr>
        <w:t>规划</w:t>
      </w:r>
      <w:r>
        <w:rPr>
          <w:rFonts w:ascii="Times New Roman" w:eastAsia="宋体" w:hAnsi="Times New Roman" w:hint="eastAsia"/>
          <w:color w:val="auto"/>
          <w:sz w:val="24"/>
          <w:highlight w:val="none"/>
          <w:lang w:eastAsia="zh-CN"/>
        </w:rPr>
        <w:t>（</w:t>
      </w:r>
      <w:r>
        <w:rPr>
          <w:rFonts w:ascii="Times New Roman" w:eastAsia="宋体" w:hAnsi="Times New Roman"/>
          <w:color w:val="auto"/>
          <w:sz w:val="24"/>
          <w:highlight w:val="none"/>
        </w:rPr>
        <w:t>修编</w:t>
      </w:r>
      <w:r>
        <w:rPr>
          <w:rFonts w:ascii="Times New Roman" w:eastAsia="宋体" w:hAnsi="Times New Roman" w:hint="eastAsia"/>
          <w:color w:val="auto"/>
          <w:sz w:val="24"/>
          <w:highlight w:val="none"/>
          <w:lang w:eastAsia="zh-CN"/>
        </w:rPr>
        <w:t>）</w:t>
      </w:r>
      <w:r>
        <w:rPr>
          <w:rFonts w:ascii="Times New Roman" w:eastAsia="宋体" w:hAnsi="Times New Roman"/>
          <w:color w:val="auto"/>
          <w:sz w:val="24"/>
          <w:highlight w:val="none"/>
        </w:rPr>
        <w:t>》项目。路线全长约193公里</w:t>
      </w:r>
      <w:r>
        <w:rPr>
          <w:rFonts w:ascii="Times New Roman" w:eastAsia="宋体" w:hAnsi="Times New Roman" w:hint="eastAsia"/>
          <w:color w:val="auto"/>
          <w:sz w:val="24"/>
          <w:highlight w:val="none"/>
        </w:rPr>
        <w:t>。已有4G存量站</w:t>
      </w:r>
      <w:r>
        <w:rPr>
          <w:rFonts w:ascii="Times New Roman" w:eastAsia="宋体" w:hAnsi="Times New Roman"/>
          <w:color w:val="auto"/>
          <w:sz w:val="24"/>
          <w:highlight w:val="none"/>
        </w:rPr>
        <w:t>25</w:t>
      </w:r>
      <w:r>
        <w:rPr>
          <w:rFonts w:ascii="Times New Roman" w:eastAsia="宋体" w:hAnsi="Times New Roman" w:hint="eastAsia"/>
          <w:color w:val="auto"/>
          <w:sz w:val="24"/>
          <w:highlight w:val="none"/>
        </w:rPr>
        <w:t>个，已规划5G基站</w:t>
      </w:r>
      <w:r>
        <w:rPr>
          <w:rFonts w:ascii="Times New Roman" w:eastAsia="宋体" w:hAnsi="Times New Roman"/>
          <w:color w:val="auto"/>
          <w:sz w:val="24"/>
          <w:highlight w:val="none"/>
        </w:rPr>
        <w:t>79</w:t>
      </w:r>
      <w:r>
        <w:rPr>
          <w:rFonts w:ascii="Times New Roman" w:eastAsia="宋体" w:hAnsi="Times New Roman" w:hint="eastAsia"/>
          <w:color w:val="auto"/>
          <w:sz w:val="24"/>
          <w:highlight w:val="none"/>
        </w:rPr>
        <w:t>个。</w:t>
      </w: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rPr>
        <w:t>南深高铁玉林至岑溪段，南深高铁西起南宁市，终至深圳市，</w:t>
      </w:r>
      <w:r>
        <w:rPr>
          <w:rFonts w:ascii="Times New Roman" w:eastAsia="宋体" w:hAnsi="Times New Roman" w:hint="eastAsia"/>
          <w:color w:val="auto"/>
          <w:sz w:val="24"/>
          <w:highlight w:val="none"/>
          <w:lang w:val="en-US" w:eastAsia="zh-CN"/>
        </w:rPr>
        <w:t>途经</w:t>
      </w:r>
      <w:r>
        <w:rPr>
          <w:rFonts w:ascii="Times New Roman" w:eastAsia="宋体" w:hAnsi="Times New Roman" w:hint="eastAsia"/>
          <w:color w:val="auto"/>
          <w:sz w:val="24"/>
          <w:highlight w:val="none"/>
        </w:rPr>
        <w:t>广西玉林、岑溪、广东云浮、肇庆、佛山、江门、中山、珠海，线路全长640.7公里。其中广西境内线路长321.9公里，广东境内线路长318.8公里。本次研究的玉林至岑溪段线路，</w:t>
      </w:r>
      <w:r>
        <w:rPr>
          <w:rFonts w:ascii="Times New Roman" w:eastAsia="宋体" w:hAnsi="Times New Roman"/>
          <w:color w:val="auto"/>
          <w:sz w:val="24"/>
          <w:highlight w:val="none"/>
        </w:rPr>
        <w:t>路线全长约74.45公里</w:t>
      </w:r>
      <w:r>
        <w:rPr>
          <w:rFonts w:ascii="Times New Roman" w:eastAsia="宋体" w:hAnsi="Times New Roman" w:hint="eastAsia"/>
          <w:color w:val="auto"/>
          <w:sz w:val="24"/>
          <w:highlight w:val="none"/>
        </w:rPr>
        <w:t>。已有4G存量站</w:t>
      </w:r>
      <w:r>
        <w:rPr>
          <w:rFonts w:ascii="Times New Roman" w:eastAsia="宋体" w:hAnsi="Times New Roman" w:hint="eastAsia"/>
          <w:color w:val="auto"/>
          <w:sz w:val="24"/>
          <w:highlight w:val="none"/>
          <w:lang w:val="en-US" w:eastAsia="zh-CN"/>
        </w:rPr>
        <w:t>0</w:t>
      </w:r>
      <w:r>
        <w:rPr>
          <w:rFonts w:ascii="Times New Roman" w:eastAsia="宋体" w:hAnsi="Times New Roman" w:hint="eastAsia"/>
          <w:color w:val="auto"/>
          <w:sz w:val="24"/>
          <w:highlight w:val="none"/>
        </w:rPr>
        <w:t>个，已规划5G基站</w:t>
      </w:r>
      <w:r>
        <w:rPr>
          <w:rFonts w:ascii="Times New Roman" w:eastAsia="宋体" w:hAnsi="Times New Roman" w:hint="eastAsia"/>
          <w:color w:val="auto"/>
          <w:sz w:val="24"/>
          <w:highlight w:val="none"/>
          <w:lang w:val="en-US" w:eastAsia="zh-CN"/>
        </w:rPr>
        <w:t>121</w:t>
      </w:r>
      <w:r>
        <w:rPr>
          <w:rFonts w:ascii="Times New Roman" w:eastAsia="宋体" w:hAnsi="Times New Roman" w:hint="eastAsia"/>
          <w:color w:val="auto"/>
          <w:sz w:val="24"/>
          <w:highlight w:val="none"/>
        </w:rPr>
        <w:t>个。</w:t>
      </w:r>
    </w:p>
    <w:p>
      <w:pPr>
        <w:pStyle w:val="Heading3"/>
        <w:spacing w:line="240" w:lineRule="auto"/>
        <w:ind w:left="0" w:firstLine="482"/>
        <w:rPr>
          <w:rFonts w:ascii="Times New Roman" w:eastAsia="宋体" w:hAnsi="Times New Roman" w:cstheme="majorEastAsia"/>
          <w:color w:val="auto"/>
          <w:sz w:val="24"/>
          <w:szCs w:val="24"/>
          <w:highlight w:val="none"/>
        </w:rPr>
      </w:pPr>
      <w:bookmarkStart w:id="28" w:name="_Toc8220"/>
      <w:r>
        <w:rPr>
          <w:rFonts w:ascii="Times New Roman" w:eastAsia="宋体" w:hAnsi="Times New Roman" w:cstheme="majorEastAsia" w:hint="eastAsia"/>
          <w:color w:val="auto"/>
          <w:sz w:val="24"/>
          <w:szCs w:val="24"/>
          <w:highlight w:val="none"/>
        </w:rPr>
        <w:t>四、5G基站规划成果</w:t>
      </w:r>
      <w:bookmarkEnd w:id="28"/>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结合上述规划原则、站距要求，进行站址规划及规模预测：</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1、与</w:t>
      </w:r>
      <w:r>
        <w:rPr>
          <w:rFonts w:ascii="Times New Roman" w:eastAsia="宋体" w:hAnsi="Times New Roman" w:cs="宋体" w:hint="eastAsia"/>
          <w:color w:val="auto"/>
          <w:sz w:val="24"/>
          <w:szCs w:val="24"/>
          <w:highlight w:val="none"/>
        </w:rPr>
        <w:t>国土空间总体规划</w:t>
      </w:r>
      <w:r>
        <w:rPr>
          <w:rFonts w:ascii="Times New Roman" w:eastAsia="宋体" w:hAnsi="Times New Roman" w:hint="eastAsia"/>
          <w:color w:val="auto"/>
          <w:sz w:val="24"/>
          <w:highlight w:val="none"/>
        </w:rPr>
        <w:t>衔接，在中心城区范围内划分为高密区、密集区、一般区、边缘区等四</w:t>
      </w:r>
      <w:r>
        <w:rPr>
          <w:rFonts w:ascii="Times New Roman" w:eastAsia="宋体" w:hAnsi="Times New Roman" w:hint="eastAsia"/>
          <w:color w:val="auto"/>
          <w:sz w:val="24"/>
          <w:highlight w:val="none"/>
          <w:lang w:eastAsia="zh-CN"/>
        </w:rPr>
        <w:t>个</w:t>
      </w:r>
      <w:r>
        <w:rPr>
          <w:rFonts w:ascii="Times New Roman" w:eastAsia="宋体" w:hAnsi="Times New Roman" w:hint="eastAsia"/>
          <w:color w:val="auto"/>
          <w:sz w:val="24"/>
          <w:highlight w:val="none"/>
        </w:rPr>
        <w:t>类型，进行分别规划。</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2、按移动、电信、联通、广电四家运营商5G基站覆盖半径要求，确定各类用地通信基站基础设施站间距如下：高密区（居住区、公共服务区）为150-250m，密集区（居住区、公共服务区）为250-350m，一般区（工业区、仓储区）为350-450m，边缘区（外围生态绿地、风景区）为450-650m。</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3、结合玉林市各片区建设和规划相关指标，测算各片区业务需求的室外宏基站数量。</w:t>
      </w:r>
    </w:p>
    <w:p>
      <w:pPr>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4、根据区域类型不同，规划考虑多种移动通信制式并存和数据业务的影响，按覆盖预测5G基站，根据各电信企业自身现网情况结合未来业务发展趋势，规划5G室外基站站址（物理站）11677个，其中市区2210个，县城2031个，乡镇</w:t>
      </w:r>
      <w:r>
        <w:rPr>
          <w:rFonts w:ascii="Times New Roman" w:eastAsia="宋体" w:hAnsi="Times New Roman"/>
          <w:color w:val="auto"/>
          <w:sz w:val="24"/>
          <w:highlight w:val="none"/>
        </w:rPr>
        <w:t>865</w:t>
      </w:r>
      <w:r>
        <w:rPr>
          <w:rFonts w:ascii="Times New Roman" w:eastAsia="宋体" w:hAnsi="Times New Roman" w:hint="eastAsia"/>
          <w:color w:val="auto"/>
          <w:sz w:val="24"/>
          <w:highlight w:val="none"/>
        </w:rPr>
        <w:t>个，农村5728个，高铁</w:t>
      </w:r>
      <w:r>
        <w:rPr>
          <w:rFonts w:ascii="Times New Roman" w:eastAsia="宋体" w:hAnsi="Times New Roman"/>
          <w:color w:val="auto"/>
          <w:sz w:val="24"/>
          <w:highlight w:val="none"/>
        </w:rPr>
        <w:t>12</w:t>
      </w:r>
      <w:r>
        <w:rPr>
          <w:rFonts w:ascii="Times New Roman" w:eastAsia="宋体" w:hAnsi="Times New Roman" w:hint="eastAsia"/>
          <w:color w:val="auto"/>
          <w:sz w:val="24"/>
          <w:highlight w:val="none"/>
          <w:lang w:val="en-US" w:eastAsia="zh-CN"/>
        </w:rPr>
        <w:t>8</w:t>
      </w:r>
      <w:r>
        <w:rPr>
          <w:rFonts w:ascii="Times New Roman" w:eastAsia="宋体" w:hAnsi="Times New Roman" w:hint="eastAsia"/>
          <w:color w:val="auto"/>
          <w:sz w:val="24"/>
          <w:highlight w:val="none"/>
        </w:rPr>
        <w:t>个，高速</w:t>
      </w:r>
      <w:r>
        <w:rPr>
          <w:rFonts w:ascii="Times New Roman" w:eastAsia="宋体" w:hAnsi="Times New Roman"/>
          <w:color w:val="auto"/>
          <w:sz w:val="24"/>
          <w:highlight w:val="none"/>
        </w:rPr>
        <w:t>715</w:t>
      </w:r>
      <w:r>
        <w:rPr>
          <w:rFonts w:ascii="Times New Roman" w:eastAsia="宋体" w:hAnsi="Times New Roman" w:hint="eastAsia"/>
          <w:color w:val="auto"/>
          <w:sz w:val="24"/>
          <w:highlight w:val="none"/>
        </w:rPr>
        <w:t>个，各县区规划情况如下表：</w:t>
      </w:r>
    </w:p>
    <w:p>
      <w:pPr>
        <w:pStyle w:val="10"/>
        <w:spacing w:line="240" w:lineRule="auto"/>
        <w:ind w:left="0" w:firstLine="0" w:firstLineChars="0"/>
        <w:jc w:val="center"/>
        <w:rPr>
          <w:rFonts w:ascii="Times New Roman" w:eastAsia="宋体" w:hAnsi="Times New Roman" w:hint="eastAsia"/>
          <w:b/>
          <w:bCs/>
          <w:color w:val="auto"/>
          <w:szCs w:val="21"/>
          <w:highlight w:val="none"/>
        </w:rPr>
      </w:pPr>
      <w:r>
        <w:rPr>
          <w:rFonts w:ascii="Times New Roman" w:eastAsia="宋体" w:hAnsi="Times New Roman" w:hint="eastAsia"/>
          <w:b/>
          <w:bCs/>
          <w:color w:val="auto"/>
          <w:spacing w:val="30"/>
          <w:szCs w:val="21"/>
          <w:highlight w:val="none"/>
        </w:rPr>
        <w:t>表5</w:t>
      </w:r>
      <w:r>
        <w:rPr>
          <w:rFonts w:ascii="Times New Roman" w:eastAsia="宋体" w:hAnsi="Times New Roman"/>
          <w:b/>
          <w:bCs/>
          <w:color w:val="auto"/>
          <w:spacing w:val="30"/>
          <w:szCs w:val="21"/>
          <w:highlight w:val="none"/>
        </w:rPr>
        <w:t>-7</w:t>
      </w:r>
      <w:r>
        <w:rPr>
          <w:rFonts w:ascii="Times New Roman" w:eastAsia="宋体" w:hAnsi="Times New Roman" w:hint="eastAsia"/>
          <w:b/>
          <w:bCs/>
          <w:color w:val="auto"/>
          <w:spacing w:val="30"/>
          <w:szCs w:val="21"/>
          <w:highlight w:val="none"/>
        </w:rPr>
        <w:t xml:space="preserve">  </w:t>
      </w:r>
      <w:r>
        <w:rPr>
          <w:rFonts w:ascii="Times New Roman" w:eastAsia="宋体" w:hAnsi="Times New Roman" w:hint="eastAsia"/>
          <w:b/>
          <w:bCs/>
          <w:color w:val="auto"/>
          <w:szCs w:val="21"/>
          <w:highlight w:val="none"/>
        </w:rPr>
        <w:t>基站数量需求预测</w:t>
      </w:r>
    </w:p>
    <w:tbl>
      <w:tblPr>
        <w:tblStyle w:val="TableNormal"/>
        <w:tblW w:w="8480" w:type="dxa"/>
        <w:jc w:val="center"/>
        <w:tblCellMar>
          <w:top w:w="0" w:type="dxa"/>
          <w:left w:w="108" w:type="dxa"/>
          <w:bottom w:w="0" w:type="dxa"/>
          <w:right w:w="108" w:type="dxa"/>
        </w:tblCellMar>
      </w:tblPr>
      <w:tblGrid>
        <w:gridCol w:w="1060"/>
        <w:gridCol w:w="1060"/>
        <w:gridCol w:w="1060"/>
        <w:gridCol w:w="1060"/>
        <w:gridCol w:w="1060"/>
        <w:gridCol w:w="1060"/>
        <w:gridCol w:w="1060"/>
        <w:gridCol w:w="1060"/>
      </w:tblGrid>
      <w:tr>
        <w:tblPrEx>
          <w:tblW w:w="8480" w:type="dxa"/>
          <w:jc w:val="center"/>
          <w:tblCellMar>
            <w:top w:w="0" w:type="dxa"/>
            <w:left w:w="108" w:type="dxa"/>
            <w:bottom w:w="0" w:type="dxa"/>
            <w:right w:w="108" w:type="dxa"/>
          </w:tblCellMar>
        </w:tblPrEx>
        <w:trPr>
          <w:trHeight w:val="540"/>
          <w:tblHeader/>
          <w:jc w:val="center"/>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240" w:lineRule="auto"/>
              <w:ind w:left="0" w:firstLine="0" w:firstLineChars="0"/>
              <w:jc w:val="center"/>
              <w:rPr>
                <w:rFonts w:ascii="Times New Roman" w:eastAsia="宋体" w:hAnsi="Times New Roman" w:cs="宋体"/>
                <w:b/>
                <w:bCs/>
                <w:color w:val="auto"/>
                <w:szCs w:val="21"/>
                <w:highlight w:val="none"/>
              </w:rPr>
            </w:pPr>
            <w:r>
              <w:rPr>
                <w:rFonts w:hint="eastAsia"/>
                <w:color w:val="auto"/>
                <w:highlight w:val="none"/>
              </w:rPr>
              <w:t>区县</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firstLineChars="0"/>
              <w:jc w:val="center"/>
              <w:rPr>
                <w:rFonts w:ascii="Times New Roman" w:eastAsia="宋体" w:hAnsi="Times New Roman" w:cs="宋体"/>
                <w:b/>
                <w:bCs/>
                <w:color w:val="auto"/>
                <w:szCs w:val="21"/>
                <w:highlight w:val="none"/>
              </w:rPr>
            </w:pPr>
            <w:r>
              <w:rPr>
                <w:rFonts w:hint="eastAsia"/>
                <w:color w:val="auto"/>
                <w:highlight w:val="none"/>
              </w:rPr>
              <w:t>高速</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firstLineChars="0"/>
              <w:jc w:val="center"/>
              <w:rPr>
                <w:rFonts w:ascii="Times New Roman" w:eastAsia="宋体" w:hAnsi="Times New Roman" w:cs="宋体"/>
                <w:b/>
                <w:bCs/>
                <w:color w:val="auto"/>
                <w:szCs w:val="21"/>
                <w:highlight w:val="none"/>
              </w:rPr>
            </w:pPr>
            <w:r>
              <w:rPr>
                <w:rFonts w:hint="eastAsia"/>
                <w:color w:val="auto"/>
                <w:highlight w:val="none"/>
              </w:rPr>
              <w:t>高铁</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firstLineChars="0"/>
              <w:jc w:val="center"/>
              <w:rPr>
                <w:rFonts w:ascii="Times New Roman" w:eastAsia="宋体" w:hAnsi="Times New Roman" w:cs="宋体"/>
                <w:b/>
                <w:bCs/>
                <w:color w:val="auto"/>
                <w:szCs w:val="21"/>
                <w:highlight w:val="none"/>
              </w:rPr>
            </w:pPr>
            <w:r>
              <w:rPr>
                <w:rFonts w:hint="eastAsia"/>
                <w:color w:val="auto"/>
                <w:highlight w:val="none"/>
              </w:rPr>
              <w:t>农村</w:t>
            </w:r>
          </w:p>
        </w:tc>
        <w:tc>
          <w:tcPr>
            <w:tcW w:w="1060" w:type="dxa"/>
            <w:tcBorders>
              <w:top w:val="single" w:sz="4" w:space="0" w:color="auto"/>
              <w:left w:val="single" w:sz="4" w:space="0" w:color="auto"/>
              <w:bottom w:val="single" w:sz="4" w:space="0" w:color="auto"/>
              <w:right w:val="single" w:sz="4" w:space="0" w:color="auto"/>
            </w:tcBorders>
            <w:vAlign w:val="center"/>
          </w:tcPr>
          <w:p>
            <w:pPr>
              <w:spacing w:line="240" w:lineRule="auto"/>
              <w:ind w:left="0" w:firstLine="0" w:firstLineChars="0"/>
              <w:jc w:val="center"/>
              <w:rPr>
                <w:rFonts w:ascii="Times New Roman" w:eastAsia="宋体" w:hAnsi="Times New Roman" w:cs="Times New Roman"/>
                <w:b/>
                <w:bCs/>
                <w:color w:val="auto"/>
                <w:szCs w:val="21"/>
                <w:highlight w:val="none"/>
              </w:rPr>
            </w:pPr>
            <w:r>
              <w:rPr>
                <w:rFonts w:hint="eastAsia"/>
                <w:color w:val="auto"/>
                <w:highlight w:val="none"/>
              </w:rPr>
              <w:t>市区</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firstLineChars="0"/>
              <w:jc w:val="center"/>
              <w:rPr>
                <w:rFonts w:ascii="Times New Roman" w:eastAsia="宋体" w:hAnsi="Times New Roman" w:cs="宋体"/>
                <w:b/>
                <w:bCs/>
                <w:color w:val="auto"/>
                <w:szCs w:val="21"/>
                <w:highlight w:val="none"/>
              </w:rPr>
            </w:pPr>
            <w:r>
              <w:rPr>
                <w:rFonts w:hint="eastAsia"/>
                <w:color w:val="auto"/>
                <w:highlight w:val="none"/>
              </w:rPr>
              <w:t>县城</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firstLineChars="0"/>
              <w:jc w:val="center"/>
              <w:rPr>
                <w:rFonts w:ascii="Times New Roman" w:eastAsia="宋体" w:hAnsi="Times New Roman" w:cs="宋体"/>
                <w:b/>
                <w:bCs/>
                <w:color w:val="auto"/>
                <w:szCs w:val="21"/>
                <w:highlight w:val="none"/>
              </w:rPr>
            </w:pPr>
            <w:r>
              <w:rPr>
                <w:rFonts w:hint="eastAsia"/>
                <w:color w:val="auto"/>
                <w:highlight w:val="none"/>
              </w:rPr>
              <w:t>乡镇</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firstLineChars="0"/>
              <w:jc w:val="center"/>
              <w:rPr>
                <w:rFonts w:ascii="Times New Roman" w:eastAsia="宋体" w:hAnsi="Times New Roman" w:cs="宋体"/>
                <w:b/>
                <w:bCs/>
                <w:color w:val="auto"/>
                <w:szCs w:val="21"/>
                <w:highlight w:val="none"/>
              </w:rPr>
            </w:pPr>
            <w:r>
              <w:rPr>
                <w:rFonts w:hint="eastAsia"/>
                <w:color w:val="auto"/>
                <w:highlight w:val="none"/>
              </w:rPr>
              <w:t>总计</w:t>
            </w:r>
          </w:p>
        </w:tc>
      </w:tr>
      <w:tr>
        <w:tblPrEx>
          <w:tblW w:w="8480" w:type="dxa"/>
          <w:jc w:val="center"/>
          <w:tblCellMar>
            <w:top w:w="0" w:type="dxa"/>
            <w:left w:w="108" w:type="dxa"/>
            <w:bottom w:w="0" w:type="dxa"/>
            <w:right w:w="108" w:type="dxa"/>
          </w:tblCellMar>
        </w:tblPrEx>
        <w:trPr>
          <w:trHeight w:val="270"/>
          <w:jc w:val="center"/>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hint="eastAsia"/>
                <w:color w:val="auto"/>
                <w:highlight w:val="none"/>
              </w:rPr>
              <w:t>北流市</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148</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47</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995</w:t>
            </w:r>
          </w:p>
        </w:tc>
        <w:tc>
          <w:tcPr>
            <w:tcW w:w="1060" w:type="dxa"/>
            <w:tcBorders>
              <w:top w:val="single" w:sz="4" w:space="0" w:color="auto"/>
              <w:left w:val="single" w:sz="4" w:space="0" w:color="auto"/>
              <w:bottom w:val="single" w:sz="4" w:space="0" w:color="auto"/>
              <w:right w:val="single" w:sz="4" w:space="0" w:color="auto"/>
            </w:tcBorders>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606</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223</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2019</w:t>
            </w:r>
          </w:p>
        </w:tc>
      </w:tr>
      <w:tr>
        <w:tblPrEx>
          <w:tblW w:w="8480" w:type="dxa"/>
          <w:jc w:val="center"/>
          <w:tblCellMar>
            <w:top w:w="0" w:type="dxa"/>
            <w:left w:w="108" w:type="dxa"/>
            <w:bottom w:w="0" w:type="dxa"/>
            <w:right w:w="108" w:type="dxa"/>
          </w:tblCellMar>
        </w:tblPrEx>
        <w:trPr>
          <w:trHeight w:val="270"/>
          <w:jc w:val="center"/>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hint="eastAsia"/>
                <w:color w:val="auto"/>
                <w:highlight w:val="none"/>
              </w:rPr>
              <w:t>博白县</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135</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1</w:t>
            </w:r>
            <w:r>
              <w:rPr>
                <w:rFonts w:hint="eastAsia"/>
                <w:color w:val="auto"/>
                <w:highlight w:val="none"/>
                <w:lang w:val="en-US" w:eastAsia="zh-CN"/>
              </w:rPr>
              <w:t>676</w:t>
            </w:r>
          </w:p>
        </w:tc>
        <w:tc>
          <w:tcPr>
            <w:tcW w:w="1060" w:type="dxa"/>
            <w:tcBorders>
              <w:top w:val="single" w:sz="4" w:space="0" w:color="auto"/>
              <w:left w:val="single" w:sz="4" w:space="0" w:color="auto"/>
              <w:bottom w:val="single" w:sz="4" w:space="0" w:color="auto"/>
              <w:right w:val="single" w:sz="4" w:space="0" w:color="auto"/>
            </w:tcBorders>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386</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199</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2</w:t>
            </w:r>
            <w:r>
              <w:rPr>
                <w:rFonts w:hint="eastAsia"/>
                <w:color w:val="auto"/>
                <w:highlight w:val="none"/>
                <w:lang w:val="en-US" w:eastAsia="zh-CN"/>
              </w:rPr>
              <w:t>396</w:t>
            </w:r>
          </w:p>
        </w:tc>
      </w:tr>
      <w:tr>
        <w:tblPrEx>
          <w:tblW w:w="8480" w:type="dxa"/>
          <w:jc w:val="center"/>
          <w:tblCellMar>
            <w:top w:w="0" w:type="dxa"/>
            <w:left w:w="108" w:type="dxa"/>
            <w:bottom w:w="0" w:type="dxa"/>
            <w:right w:w="108" w:type="dxa"/>
          </w:tblCellMar>
        </w:tblPrEx>
        <w:trPr>
          <w:trHeight w:val="270"/>
          <w:jc w:val="center"/>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hint="eastAsia"/>
                <w:color w:val="auto"/>
                <w:highlight w:val="none"/>
              </w:rPr>
              <w:t>福绵区</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52</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388</w:t>
            </w:r>
          </w:p>
        </w:tc>
        <w:tc>
          <w:tcPr>
            <w:tcW w:w="1060" w:type="dxa"/>
            <w:tcBorders>
              <w:top w:val="single" w:sz="4" w:space="0" w:color="auto"/>
              <w:left w:val="single" w:sz="4" w:space="0" w:color="auto"/>
              <w:bottom w:val="single" w:sz="4" w:space="0" w:color="auto"/>
              <w:right w:val="single" w:sz="4" w:space="0" w:color="auto"/>
            </w:tcBorders>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82</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56</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578</w:t>
            </w:r>
          </w:p>
        </w:tc>
      </w:tr>
      <w:tr>
        <w:tblPrEx>
          <w:tblW w:w="8480" w:type="dxa"/>
          <w:jc w:val="center"/>
          <w:tblCellMar>
            <w:top w:w="0" w:type="dxa"/>
            <w:left w:w="108" w:type="dxa"/>
            <w:bottom w:w="0" w:type="dxa"/>
            <w:right w:w="108" w:type="dxa"/>
          </w:tblCellMar>
        </w:tblPrEx>
        <w:trPr>
          <w:trHeight w:val="270"/>
          <w:jc w:val="center"/>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hint="eastAsia"/>
                <w:color w:val="auto"/>
                <w:highlight w:val="none"/>
              </w:rPr>
              <w:t>陆川县</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76</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597</w:t>
            </w:r>
          </w:p>
        </w:tc>
        <w:tc>
          <w:tcPr>
            <w:tcW w:w="1060" w:type="dxa"/>
            <w:tcBorders>
              <w:top w:val="single" w:sz="4" w:space="0" w:color="auto"/>
              <w:left w:val="single" w:sz="4" w:space="0" w:color="auto"/>
              <w:bottom w:val="single" w:sz="4" w:space="0" w:color="auto"/>
              <w:right w:val="single" w:sz="4" w:space="0" w:color="auto"/>
            </w:tcBorders>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345</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116</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1134</w:t>
            </w:r>
          </w:p>
        </w:tc>
      </w:tr>
      <w:tr>
        <w:tblPrEx>
          <w:tblW w:w="8480" w:type="dxa"/>
          <w:jc w:val="center"/>
          <w:tblCellMar>
            <w:top w:w="0" w:type="dxa"/>
            <w:left w:w="108" w:type="dxa"/>
            <w:bottom w:w="0" w:type="dxa"/>
            <w:right w:w="108" w:type="dxa"/>
          </w:tblCellMar>
        </w:tblPrEx>
        <w:trPr>
          <w:trHeight w:val="270"/>
          <w:jc w:val="center"/>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hint="eastAsia"/>
                <w:color w:val="auto"/>
                <w:highlight w:val="none"/>
              </w:rPr>
              <w:t>容县</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134</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eastAsia="宋体" w:hint="eastAsia"/>
                <w:color w:val="auto"/>
                <w:highlight w:val="none"/>
                <w:lang w:val="en-US" w:eastAsia="zh-CN"/>
              </w:rPr>
              <w:t>29</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700</w:t>
            </w:r>
          </w:p>
        </w:tc>
        <w:tc>
          <w:tcPr>
            <w:tcW w:w="1060" w:type="dxa"/>
            <w:tcBorders>
              <w:top w:val="single" w:sz="4" w:space="0" w:color="auto"/>
              <w:left w:val="single" w:sz="4" w:space="0" w:color="auto"/>
              <w:bottom w:val="single" w:sz="4" w:space="0" w:color="auto"/>
              <w:right w:val="single" w:sz="4" w:space="0" w:color="auto"/>
            </w:tcBorders>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411</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102</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1369</w:t>
            </w:r>
          </w:p>
        </w:tc>
      </w:tr>
      <w:tr>
        <w:tblPrEx>
          <w:tblW w:w="8480" w:type="dxa"/>
          <w:jc w:val="center"/>
          <w:tblCellMar>
            <w:top w:w="0" w:type="dxa"/>
            <w:left w:w="108" w:type="dxa"/>
            <w:bottom w:w="0" w:type="dxa"/>
            <w:right w:w="108" w:type="dxa"/>
          </w:tblCellMar>
        </w:tblPrEx>
        <w:trPr>
          <w:trHeight w:val="270"/>
          <w:jc w:val="center"/>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hint="eastAsia"/>
                <w:color w:val="auto"/>
                <w:highlight w:val="none"/>
              </w:rPr>
              <w:t>兴业县</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107</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42</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601</w:t>
            </w:r>
          </w:p>
        </w:tc>
        <w:tc>
          <w:tcPr>
            <w:tcW w:w="1060" w:type="dxa"/>
            <w:tcBorders>
              <w:top w:val="single" w:sz="4" w:space="0" w:color="auto"/>
              <w:left w:val="single" w:sz="4" w:space="0" w:color="auto"/>
              <w:bottom w:val="single" w:sz="4" w:space="0" w:color="auto"/>
              <w:right w:val="single" w:sz="4" w:space="0" w:color="auto"/>
            </w:tcBorders>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201</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109</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1060</w:t>
            </w:r>
          </w:p>
        </w:tc>
      </w:tr>
      <w:tr>
        <w:tblPrEx>
          <w:tblW w:w="8480" w:type="dxa"/>
          <w:jc w:val="center"/>
          <w:tblCellMar>
            <w:top w:w="0" w:type="dxa"/>
            <w:left w:w="108" w:type="dxa"/>
            <w:bottom w:w="0" w:type="dxa"/>
            <w:right w:w="108" w:type="dxa"/>
          </w:tblCellMar>
        </w:tblPrEx>
        <w:trPr>
          <w:trHeight w:val="270"/>
          <w:jc w:val="center"/>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hint="eastAsia"/>
                <w:color w:val="auto"/>
                <w:highlight w:val="none"/>
              </w:rPr>
              <w:t>玉州区</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63</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10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7</w:t>
            </w:r>
            <w:r>
              <w:rPr>
                <w:rFonts w:hint="eastAsia"/>
                <w:color w:val="auto"/>
                <w:highlight w:val="none"/>
                <w:lang w:val="en-US" w:eastAsia="zh-CN"/>
              </w:rPr>
              <w:t>7</w:t>
            </w:r>
            <w:r>
              <w:rPr>
                <w:rFonts w:hint="eastAsia"/>
                <w:color w:val="auto"/>
                <w:highlight w:val="none"/>
              </w:rPr>
              <w:t>1</w:t>
            </w:r>
          </w:p>
        </w:tc>
        <w:tc>
          <w:tcPr>
            <w:tcW w:w="1060" w:type="dxa"/>
            <w:tcBorders>
              <w:top w:val="single" w:sz="4" w:space="0" w:color="auto"/>
              <w:left w:val="single" w:sz="4" w:space="0" w:color="auto"/>
              <w:bottom w:val="single" w:sz="4" w:space="0" w:color="auto"/>
              <w:right w:val="single" w:sz="4" w:space="0" w:color="auto"/>
            </w:tcBorders>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2</w:t>
            </w:r>
            <w:r>
              <w:rPr>
                <w:rFonts w:hint="eastAsia"/>
                <w:color w:val="auto"/>
                <w:highlight w:val="none"/>
                <w:lang w:val="en-US" w:eastAsia="zh-CN"/>
              </w:rPr>
              <w:t>210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60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3</w:t>
            </w:r>
            <w:r>
              <w:rPr>
                <w:rFonts w:hint="eastAsia"/>
                <w:color w:val="auto"/>
                <w:highlight w:val="none"/>
                <w:lang w:val="en-US" w:eastAsia="zh-CN"/>
              </w:rPr>
              <w:t>114</w:t>
            </w:r>
          </w:p>
        </w:tc>
      </w:tr>
      <w:tr>
        <w:tblPrEx>
          <w:tblW w:w="8480" w:type="dxa"/>
          <w:jc w:val="center"/>
          <w:tblCellMar>
            <w:top w:w="0" w:type="dxa"/>
            <w:left w:w="108" w:type="dxa"/>
            <w:bottom w:w="0" w:type="dxa"/>
            <w:right w:w="108" w:type="dxa"/>
          </w:tblCellMar>
        </w:tblPrEx>
        <w:trPr>
          <w:trHeight w:val="270"/>
          <w:jc w:val="center"/>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firstLineChars="0"/>
              <w:jc w:val="center"/>
              <w:rPr>
                <w:rFonts w:ascii="Times New Roman" w:eastAsia="宋体" w:hAnsi="Times New Roman" w:cs="宋体"/>
                <w:b/>
                <w:bCs/>
                <w:color w:val="auto"/>
                <w:szCs w:val="21"/>
                <w:highlight w:val="none"/>
              </w:rPr>
            </w:pPr>
            <w:r>
              <w:rPr>
                <w:rFonts w:hint="eastAsia"/>
                <w:color w:val="auto"/>
                <w:highlight w:val="none"/>
              </w:rPr>
              <w:t>总计</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715</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12</w:t>
            </w:r>
            <w:r>
              <w:rPr>
                <w:rFonts w:hint="eastAsia"/>
                <w:color w:val="auto"/>
                <w:highlight w:val="none"/>
                <w:lang w:val="en-US" w:eastAsia="zh-CN"/>
              </w:rPr>
              <w:t>8</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5</w:t>
            </w:r>
            <w:r>
              <w:rPr>
                <w:rFonts w:hint="eastAsia"/>
                <w:color w:val="auto"/>
                <w:highlight w:val="none"/>
                <w:lang w:val="en-US" w:eastAsia="zh-CN"/>
              </w:rPr>
              <w:t>728</w:t>
            </w:r>
          </w:p>
        </w:tc>
        <w:tc>
          <w:tcPr>
            <w:tcW w:w="1060" w:type="dxa"/>
            <w:tcBorders>
              <w:top w:val="single" w:sz="4" w:space="0" w:color="auto"/>
              <w:left w:val="single" w:sz="4" w:space="0" w:color="auto"/>
              <w:bottom w:val="single" w:sz="4" w:space="0" w:color="auto"/>
              <w:right w:val="single" w:sz="4" w:space="0" w:color="auto"/>
            </w:tcBorders>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2</w:t>
            </w:r>
            <w:r>
              <w:rPr>
                <w:rFonts w:hint="eastAsia"/>
                <w:color w:val="auto"/>
                <w:highlight w:val="none"/>
                <w:lang w:val="en-US" w:eastAsia="zh-CN"/>
              </w:rPr>
              <w:t>210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hAnsi="Times New Roman" w:cs="宋体"/>
                <w:color w:val="auto"/>
                <w:szCs w:val="21"/>
                <w:highlight w:val="none"/>
              </w:rPr>
            </w:pPr>
            <w:r>
              <w:rPr>
                <w:rFonts w:hint="eastAsia"/>
                <w:color w:val="auto"/>
                <w:highlight w:val="none"/>
              </w:rPr>
              <w:t>2031</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865</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line="240" w:lineRule="auto"/>
              <w:ind w:left="0" w:firstLine="0" w:leftChars="0" w:firstLineChars="0"/>
              <w:jc w:val="center"/>
              <w:rPr>
                <w:rFonts w:ascii="Times New Roman" w:eastAsia="宋体" w:hAnsi="Times New Roman" w:cs="宋体"/>
                <w:color w:val="auto"/>
                <w:szCs w:val="21"/>
                <w:highlight w:val="none"/>
              </w:rPr>
            </w:pPr>
            <w:r>
              <w:rPr>
                <w:rFonts w:hint="eastAsia"/>
                <w:color w:val="auto"/>
                <w:highlight w:val="none"/>
              </w:rPr>
              <w:t>11</w:t>
            </w:r>
            <w:r>
              <w:rPr>
                <w:rFonts w:hint="eastAsia"/>
                <w:color w:val="auto"/>
                <w:highlight w:val="none"/>
                <w:lang w:val="en-US" w:eastAsia="zh-CN"/>
              </w:rPr>
              <w:t>677</w:t>
            </w:r>
          </w:p>
        </w:tc>
      </w:tr>
    </w:tbl>
    <w:p>
      <w:pPr>
        <w:pStyle w:val="10"/>
        <w:spacing w:line="240" w:lineRule="auto"/>
        <w:ind w:left="0" w:firstLine="0" w:firstLineChars="0"/>
        <w:jc w:val="center"/>
        <w:rPr>
          <w:rFonts w:ascii="Times New Roman" w:eastAsia="宋体" w:hAnsi="Times New Roman" w:hint="eastAsia"/>
          <w:b/>
          <w:bCs/>
          <w:color w:val="auto"/>
          <w:szCs w:val="21"/>
          <w:highlight w:val="none"/>
        </w:rPr>
      </w:pPr>
    </w:p>
    <w:p>
      <w:pPr>
        <w:widowControl/>
        <w:spacing w:line="240" w:lineRule="auto"/>
        <w:ind w:left="0" w:firstLine="420"/>
        <w:rPr>
          <w:rFonts w:ascii="Times New Roman" w:eastAsia="宋体" w:hAnsi="Times New Roman"/>
          <w:color w:val="auto"/>
          <w:szCs w:val="21"/>
          <w:highlight w:val="none"/>
        </w:rPr>
      </w:pPr>
      <w:r>
        <w:rPr>
          <w:rFonts w:ascii="Times New Roman" w:eastAsia="宋体" w:hAnsi="Times New Roman" w:cs="宋体" w:hint="eastAsia"/>
          <w:color w:val="auto"/>
          <w:kern w:val="0"/>
          <w:szCs w:val="21"/>
          <w:highlight w:val="none"/>
        </w:rPr>
        <w:t>注：现状网点包括3家运营商各自建设的站点，为未整合的站点总数。理论预测数量为基站共建共享情况下的站点数量。</w:t>
      </w:r>
    </w:p>
    <w:p>
      <w:pPr>
        <w:pStyle w:val="Heading3"/>
        <w:spacing w:line="240" w:lineRule="auto"/>
        <w:ind w:left="0" w:firstLine="482"/>
        <w:rPr>
          <w:rFonts w:ascii="Times New Roman" w:eastAsia="宋体" w:hAnsi="Times New Roman" w:cstheme="majorEastAsia"/>
          <w:color w:val="auto"/>
          <w:sz w:val="24"/>
          <w:szCs w:val="24"/>
          <w:highlight w:val="none"/>
        </w:rPr>
      </w:pPr>
      <w:bookmarkStart w:id="29" w:name="_Toc5459"/>
      <w:r>
        <w:rPr>
          <w:rFonts w:ascii="Times New Roman" w:eastAsia="宋体" w:hAnsi="Times New Roman" w:cstheme="majorEastAsia" w:hint="eastAsia"/>
          <w:color w:val="auto"/>
          <w:sz w:val="24"/>
          <w:szCs w:val="24"/>
          <w:highlight w:val="none"/>
        </w:rPr>
        <w:t>五、5G基站社会资源储备</w:t>
      </w:r>
      <w:bookmarkEnd w:id="29"/>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未来5G主要以宏站+微站的方式组网为主，宏站用于广覆盖，微站用于热点盲点补充，通常一个宏站周边需要布点 5~10 个微站。在现有的宏基站规划布点的基础上，微站选取宏基站周边社会资源杆塔（包括路灯灯杆、交通监控杆、公安监控杆、交通信号灯、电力杆塔等）进行补充布点。根据玉林市工业和信息化局《关于推进城市公共资源向5G基站建设开放的指导意见》 ，玉林市行政区域范围内基站建设所涉公共资源，包括但不仅限于国家机关、事业单位、国有企业、学校、医院、大型场馆、楼宇小区等所属建筑物，以及公路、公路用地范围内、铁路及其线路两侧安全保护区、隧道、桥梁、机场、地铁、各类车站、港口、码头、渡口内河航道及岸线、通航建筑物、城市轨道交通、旅游景区、公园绿地、林地等公共区域和路灯、监控杄、道路指示牌等公共设施，以政府、国有投资为主的公共资源，除法律法规另有规定外，应当向铁塔公司和电信运营商无条件免费开放；社会所属建筑物及空间若需收费，必须在政府指导限价下执行。</w:t>
      </w:r>
    </w:p>
    <w:p>
      <w:pPr>
        <w:widowControl/>
        <w:spacing w:line="240" w:lineRule="auto"/>
        <w:ind w:left="0" w:firstLine="640"/>
        <w:rPr>
          <w:rFonts w:ascii="Times New Roman" w:eastAsia="宋体" w:hAnsi="Times New Roman"/>
          <w:color w:val="auto"/>
          <w:sz w:val="32"/>
          <w:szCs w:val="32"/>
          <w:highlight w:val="none"/>
        </w:rPr>
      </w:pPr>
      <w:bookmarkStart w:id="30" w:name="_Toc41931661"/>
      <w:r>
        <w:rPr>
          <w:rFonts w:ascii="Times New Roman" w:eastAsia="宋体" w:hAnsi="Times New Roman"/>
          <w:color w:val="auto"/>
          <w:sz w:val="32"/>
          <w:szCs w:val="32"/>
          <w:highlight w:val="none"/>
        </w:rPr>
        <w:br w:type="page"/>
      </w:r>
    </w:p>
    <w:p>
      <w:pPr>
        <w:pStyle w:val="Heading2"/>
        <w:spacing w:before="260" w:after="260" w:line="240" w:lineRule="auto"/>
        <w:ind w:left="0" w:firstLine="643"/>
        <w:rPr>
          <w:rFonts w:ascii="Times New Roman" w:eastAsia="宋体" w:hAnsi="Times New Roman"/>
          <w:color w:val="auto"/>
          <w:sz w:val="32"/>
          <w:szCs w:val="32"/>
          <w:highlight w:val="none"/>
        </w:rPr>
      </w:pPr>
      <w:bookmarkStart w:id="31" w:name="_Toc16294"/>
      <w:r>
        <w:rPr>
          <w:rFonts w:ascii="Times New Roman" w:eastAsia="宋体" w:hAnsi="Times New Roman" w:hint="eastAsia"/>
          <w:color w:val="auto"/>
          <w:sz w:val="32"/>
          <w:szCs w:val="32"/>
          <w:highlight w:val="none"/>
        </w:rPr>
        <w:t>第六章 5G通信室内分布基站基础设施规划</w:t>
      </w:r>
      <w:bookmarkEnd w:id="30"/>
      <w:bookmarkEnd w:id="31"/>
    </w:p>
    <w:p>
      <w:pPr>
        <w:pStyle w:val="Heading3"/>
        <w:spacing w:line="240" w:lineRule="auto"/>
        <w:ind w:left="0" w:firstLine="482"/>
        <w:rPr>
          <w:rFonts w:ascii="Times New Roman" w:eastAsia="宋体" w:hAnsi="Times New Roman" w:cstheme="majorEastAsia"/>
          <w:color w:val="auto"/>
          <w:sz w:val="24"/>
          <w:szCs w:val="24"/>
          <w:highlight w:val="none"/>
        </w:rPr>
      </w:pPr>
      <w:bookmarkStart w:id="32" w:name="_Toc41931662"/>
      <w:bookmarkStart w:id="33" w:name="_Toc18102"/>
      <w:r>
        <w:rPr>
          <w:rFonts w:ascii="Times New Roman" w:eastAsia="宋体" w:hAnsi="Times New Roman" w:cstheme="majorEastAsia" w:hint="eastAsia"/>
          <w:color w:val="auto"/>
          <w:sz w:val="24"/>
          <w:szCs w:val="24"/>
          <w:highlight w:val="none"/>
        </w:rPr>
        <w:t>一、5G通信室内分布基站规划原则</w:t>
      </w:r>
      <w:bookmarkEnd w:id="32"/>
      <w:bookmarkEnd w:id="33"/>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随着城市的快速发展，越来越多的高层建筑的筑起，移动通信用户数量急剧增加，话务密度和覆盖要求也不断上升。在大型建筑物内部、地下商场、地下停车场等环境下，对移动通信信号有一定的阻挡和屏蔽，导致移动通信信号减弱，手机等终端无法正常使用，形成了移动通信的盲区和阴影区。另外，在有些建筑物内，虽然手机能够正常通话，但是用户密度大，基站信道拥挤，导致手机上线困难。因此室内信号覆盖的解决方案变得很重要。</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1、室分规划原则</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（1）室分规划要以城市发展为向导，了解城市发展方向、经济发展水平、居民态度、生活方式等方面对室分通信基础设施建设的影响，分析各地市面临的社会环境，开展室分规划。</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（2）室分规划要以业务需求为指引，按“高价值、高流量、重要性”的优先原则进行规划，再逐步扩展至全覆盖规划。</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（3）结合技术标准演进、网络架构和</w:t>
      </w:r>
      <w:r>
        <w:rPr>
          <w:rFonts w:ascii="Times New Roman" w:eastAsia="宋体" w:hAnsi="Times New Roman" w:hint="eastAsia"/>
          <w:color w:val="auto"/>
          <w:sz w:val="24"/>
          <w:highlight w:val="none"/>
          <w:lang w:val="en-US" w:eastAsia="zh-CN"/>
        </w:rPr>
        <w:t>设备型号</w:t>
      </w:r>
      <w:r>
        <w:rPr>
          <w:rFonts w:ascii="Times New Roman" w:eastAsia="宋体" w:hAnsi="Times New Roman" w:hint="eastAsia"/>
          <w:color w:val="auto"/>
          <w:sz w:val="24"/>
          <w:highlight w:val="none"/>
        </w:rPr>
        <w:t>等技术发展，根据不同场景及业务需求选取合适建设方式。</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2、室分站点信息库建立</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为了准确掌握规划期内需要建设室内分布系统的目标楼宇，需要通过市政规划、楼宇摸查、网络收集等渠道采集楼宇信息，以物业点为单位，建立站点信息库。</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站点信息库要求包含建筑物名称、地址、经纬度等站址基础信息，要求包含地市及区域归属属性，并对站点的覆盖现状、产权归属进行核实，同时通过场景分类、人口密度、业务流量进行重要程度排序。</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对从多渠道采集到的站点信息进行需求整合，根据室分规划思路和目标，基于基础电信企业覆盖要求、网络指标要求、场景特点和室分技术特点积极推进室内分布系统的共建共享。</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室分规划以物业点分布为基础，在规划前先根据建筑物类型进行场景划分，明确室分网络覆盖目标及区域。建筑物场景分类如下表：</w:t>
      </w:r>
    </w:p>
    <w:p>
      <w:pPr>
        <w:pStyle w:val="4-"/>
        <w:numPr>
          <w:ilvl w:val="0"/>
          <w:numId w:val="0"/>
        </w:numPr>
        <w:rPr>
          <w:rFonts w:ascii="Times New Roman" w:eastAsia="宋体" w:hAnsi="Times New Roman" w:cs="宋体" w:hint="eastAsia"/>
          <w:b/>
          <w:bCs/>
          <w:color w:val="auto"/>
          <w:kern w:val="0"/>
          <w:sz w:val="21"/>
          <w:szCs w:val="21"/>
          <w:highlight w:val="none"/>
        </w:rPr>
      </w:pPr>
      <w:bookmarkStart w:id="34" w:name="_Toc41931667"/>
      <w:bookmarkStart w:id="35" w:name="_Toc41931664"/>
      <w:r>
        <w:rPr>
          <w:rFonts w:ascii="Times New Roman" w:eastAsia="宋体" w:hAnsi="Times New Roman" w:cs="宋体" w:hint="eastAsia"/>
          <w:b/>
          <w:bCs/>
          <w:color w:val="auto"/>
          <w:kern w:val="0"/>
          <w:sz w:val="21"/>
          <w:szCs w:val="21"/>
          <w:highlight w:val="none"/>
        </w:rPr>
        <w:t>表</w:t>
      </w:r>
      <w:r>
        <w:rPr>
          <w:rFonts w:ascii="Times New Roman" w:eastAsia="宋体" w:hAnsi="Times New Roman" w:cs="宋体"/>
          <w:b/>
          <w:bCs/>
          <w:color w:val="auto"/>
          <w:kern w:val="0"/>
          <w:sz w:val="21"/>
          <w:szCs w:val="21"/>
          <w:highlight w:val="none"/>
        </w:rPr>
        <w:t>6-1</w:t>
      </w:r>
      <w:r>
        <w:rPr>
          <w:rFonts w:ascii="Times New Roman" w:eastAsia="宋体" w:hAnsi="Times New Roman" w:cs="宋体" w:hint="eastAsia"/>
          <w:b/>
          <w:bCs/>
          <w:color w:val="auto"/>
          <w:kern w:val="0"/>
          <w:sz w:val="21"/>
          <w:szCs w:val="21"/>
          <w:highlight w:val="none"/>
        </w:rPr>
        <w:t xml:space="preserve">  建筑物场景分类</w:t>
      </w:r>
    </w:p>
    <w:tbl>
      <w:tblPr>
        <w:tblStyle w:val="TableNormal"/>
        <w:tblW w:w="328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blGrid>
        <w:gridCol w:w="3553"/>
        <w:gridCol w:w="3097"/>
      </w:tblGrid>
      <w:tr>
        <w:tblPrEx>
          <w:tblW w:w="328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Ex>
        <w:trPr>
          <w:trHeight w:val="270"/>
          <w:jc w:val="center"/>
        </w:trPr>
        <w:tc>
          <w:tcPr>
            <w:tcW w:w="2672" w:type="pct"/>
            <w:shd w:val="clear" w:color="auto" w:fill="auto"/>
            <w:noWrap/>
            <w:vAlign w:val="center"/>
          </w:tcPr>
          <w:p>
            <w:pPr>
              <w:widowControl/>
              <w:spacing w:line="240" w:lineRule="auto"/>
              <w:ind w:left="0" w:firstLine="0" w:firstLineChars="0"/>
              <w:jc w:val="center"/>
              <w:rPr>
                <w:rFonts w:ascii="宋体" w:eastAsia="宋体" w:hAnsi="宋体" w:cs="宋体"/>
                <w:b/>
                <w:bCs/>
                <w:color w:val="auto"/>
                <w:kern w:val="0"/>
                <w:szCs w:val="21"/>
                <w:highlight w:val="none"/>
              </w:rPr>
            </w:pPr>
            <w:r>
              <w:rPr>
                <w:rFonts w:ascii="宋体" w:eastAsia="宋体" w:hAnsi="宋体" w:cs="宋体" w:hint="eastAsia"/>
                <w:b/>
                <w:bCs/>
                <w:color w:val="auto"/>
                <w:kern w:val="0"/>
                <w:szCs w:val="21"/>
                <w:highlight w:val="none"/>
              </w:rPr>
              <w:t>建筑物类型</w:t>
            </w:r>
          </w:p>
        </w:tc>
        <w:tc>
          <w:tcPr>
            <w:tcW w:w="2328" w:type="pct"/>
            <w:shd w:val="clear" w:color="auto" w:fill="auto"/>
            <w:noWrap/>
            <w:vAlign w:val="center"/>
          </w:tcPr>
          <w:p>
            <w:pPr>
              <w:widowControl/>
              <w:spacing w:line="240" w:lineRule="auto"/>
              <w:ind w:left="0" w:firstLine="0" w:firstLineChars="0"/>
              <w:jc w:val="center"/>
              <w:rPr>
                <w:rFonts w:ascii="宋体" w:eastAsia="宋体" w:hAnsi="宋体" w:cs="宋体"/>
                <w:b/>
                <w:bCs/>
                <w:color w:val="auto"/>
                <w:kern w:val="0"/>
                <w:szCs w:val="21"/>
                <w:highlight w:val="none"/>
              </w:rPr>
            </w:pPr>
            <w:r>
              <w:rPr>
                <w:rFonts w:ascii="宋体" w:eastAsia="宋体" w:hAnsi="宋体" w:cs="宋体" w:hint="eastAsia"/>
                <w:b/>
                <w:bCs/>
                <w:color w:val="auto"/>
                <w:kern w:val="0"/>
                <w:szCs w:val="21"/>
                <w:highlight w:val="none"/>
              </w:rPr>
              <w:t>站点数量</w:t>
            </w:r>
          </w:p>
        </w:tc>
      </w:tr>
      <w:tr>
        <w:tblPrEx>
          <w:tblW w:w="3285" w:type="pct"/>
          <w:jc w:val="center"/>
          <w:tblCellMar>
            <w:top w:w="0" w:type="dxa"/>
            <w:left w:w="108" w:type="dxa"/>
            <w:bottom w:w="0" w:type="dxa"/>
            <w:right w:w="108" w:type="dxa"/>
          </w:tblCellMar>
        </w:tblPrEx>
        <w:trPr>
          <w:trHeight w:val="270"/>
          <w:jc w:val="center"/>
        </w:trPr>
        <w:tc>
          <w:tcPr>
            <w:tcW w:w="2672" w:type="pct"/>
            <w:shd w:val="clear" w:color="auto" w:fill="auto"/>
            <w:noWrap/>
          </w:tcPr>
          <w:p>
            <w:pPr>
              <w:widowControl/>
              <w:spacing w:line="240" w:lineRule="auto"/>
              <w:ind w:left="0" w:firstLine="0" w:firstLineChars="0"/>
              <w:jc w:val="center"/>
              <w:rPr>
                <w:rFonts w:ascii="宋体" w:eastAsia="宋体" w:hAnsi="宋体" w:cs="宋体"/>
                <w:color w:val="auto"/>
                <w:kern w:val="0"/>
                <w:szCs w:val="21"/>
                <w:highlight w:val="none"/>
              </w:rPr>
            </w:pPr>
            <w:r>
              <w:rPr>
                <w:rFonts w:hint="eastAsia"/>
                <w:color w:val="auto"/>
                <w:highlight w:val="none"/>
              </w:rPr>
              <w:t>宾馆酒店</w:t>
            </w:r>
          </w:p>
        </w:tc>
        <w:tc>
          <w:tcPr>
            <w:tcW w:w="2328" w:type="pct"/>
            <w:shd w:val="clear" w:color="auto" w:fill="auto"/>
            <w:noWrap/>
          </w:tcPr>
          <w:p>
            <w:pPr>
              <w:widowControl/>
              <w:spacing w:line="240" w:lineRule="auto"/>
              <w:ind w:left="0" w:firstLine="0" w:firstLineChars="0"/>
              <w:jc w:val="center"/>
              <w:rPr>
                <w:rFonts w:ascii="宋体" w:eastAsia="宋体" w:hAnsi="宋体" w:cs="宋体"/>
                <w:color w:val="auto"/>
                <w:kern w:val="0"/>
                <w:szCs w:val="21"/>
                <w:highlight w:val="none"/>
              </w:rPr>
            </w:pPr>
            <w:r>
              <w:rPr>
                <w:rFonts w:hint="eastAsia"/>
                <w:color w:val="auto"/>
                <w:highlight w:val="none"/>
              </w:rPr>
              <w:t>170</w:t>
            </w:r>
          </w:p>
        </w:tc>
      </w:tr>
      <w:tr>
        <w:tblPrEx>
          <w:tblW w:w="3285" w:type="pct"/>
          <w:jc w:val="center"/>
          <w:tblCellMar>
            <w:top w:w="0" w:type="dxa"/>
            <w:left w:w="108" w:type="dxa"/>
            <w:bottom w:w="0" w:type="dxa"/>
            <w:right w:w="108" w:type="dxa"/>
          </w:tblCellMar>
        </w:tblPrEx>
        <w:trPr>
          <w:trHeight w:val="270"/>
          <w:jc w:val="center"/>
        </w:trPr>
        <w:tc>
          <w:tcPr>
            <w:tcW w:w="2672" w:type="pct"/>
            <w:shd w:val="clear" w:color="auto" w:fill="auto"/>
            <w:noWrap/>
          </w:tcPr>
          <w:p>
            <w:pPr>
              <w:widowControl/>
              <w:spacing w:line="240" w:lineRule="auto"/>
              <w:ind w:left="0" w:firstLine="0" w:firstLineChars="0"/>
              <w:jc w:val="center"/>
              <w:rPr>
                <w:rFonts w:ascii="宋体" w:eastAsia="宋体" w:hAnsi="宋体" w:cs="宋体"/>
                <w:color w:val="auto"/>
                <w:kern w:val="0"/>
                <w:szCs w:val="21"/>
                <w:highlight w:val="none"/>
              </w:rPr>
            </w:pPr>
            <w:r>
              <w:rPr>
                <w:rFonts w:hint="eastAsia"/>
                <w:color w:val="auto"/>
                <w:highlight w:val="none"/>
              </w:rPr>
              <w:t>大型场馆</w:t>
            </w:r>
          </w:p>
        </w:tc>
        <w:tc>
          <w:tcPr>
            <w:tcW w:w="2328" w:type="pct"/>
            <w:shd w:val="clear" w:color="auto" w:fill="auto"/>
            <w:noWrap/>
          </w:tcPr>
          <w:p>
            <w:pPr>
              <w:widowControl/>
              <w:spacing w:line="240" w:lineRule="auto"/>
              <w:ind w:left="0" w:firstLine="0" w:firstLineChars="0"/>
              <w:jc w:val="center"/>
              <w:rPr>
                <w:rFonts w:ascii="宋体" w:hAnsi="宋体" w:cs="宋体"/>
                <w:color w:val="auto"/>
                <w:kern w:val="0"/>
                <w:szCs w:val="21"/>
                <w:highlight w:val="none"/>
              </w:rPr>
            </w:pPr>
            <w:r>
              <w:rPr>
                <w:rFonts w:hint="eastAsia"/>
                <w:color w:val="auto"/>
                <w:highlight w:val="none"/>
              </w:rPr>
              <w:t>27</w:t>
            </w:r>
          </w:p>
        </w:tc>
      </w:tr>
      <w:tr>
        <w:tblPrEx>
          <w:tblW w:w="3285" w:type="pct"/>
          <w:jc w:val="center"/>
          <w:tblCellMar>
            <w:top w:w="0" w:type="dxa"/>
            <w:left w:w="108" w:type="dxa"/>
            <w:bottom w:w="0" w:type="dxa"/>
            <w:right w:w="108" w:type="dxa"/>
          </w:tblCellMar>
        </w:tblPrEx>
        <w:trPr>
          <w:trHeight w:val="270"/>
          <w:jc w:val="center"/>
        </w:trPr>
        <w:tc>
          <w:tcPr>
            <w:tcW w:w="2672" w:type="pct"/>
            <w:shd w:val="clear" w:color="auto" w:fill="auto"/>
            <w:noWrap/>
          </w:tcPr>
          <w:p>
            <w:pPr>
              <w:widowControl/>
              <w:spacing w:line="240" w:lineRule="auto"/>
              <w:ind w:left="0" w:firstLine="0" w:firstLineChars="0"/>
              <w:jc w:val="center"/>
              <w:rPr>
                <w:rFonts w:ascii="宋体" w:eastAsia="宋体" w:hAnsi="宋体" w:cs="宋体"/>
                <w:color w:val="auto"/>
                <w:kern w:val="0"/>
                <w:szCs w:val="21"/>
                <w:highlight w:val="none"/>
              </w:rPr>
            </w:pPr>
            <w:r>
              <w:rPr>
                <w:rFonts w:hint="eastAsia"/>
                <w:color w:val="auto"/>
                <w:highlight w:val="none"/>
              </w:rPr>
              <w:t>党政机关</w:t>
            </w:r>
          </w:p>
        </w:tc>
        <w:tc>
          <w:tcPr>
            <w:tcW w:w="2328" w:type="pct"/>
            <w:shd w:val="clear" w:color="auto" w:fill="auto"/>
            <w:noWrap/>
          </w:tcPr>
          <w:p>
            <w:pPr>
              <w:widowControl/>
              <w:spacing w:line="240" w:lineRule="auto"/>
              <w:ind w:left="0" w:firstLine="0" w:firstLineChars="0"/>
              <w:jc w:val="center"/>
              <w:rPr>
                <w:rFonts w:ascii="宋体" w:eastAsia="宋体" w:hAnsi="宋体" w:cs="宋体"/>
                <w:color w:val="auto"/>
                <w:kern w:val="0"/>
                <w:szCs w:val="21"/>
                <w:highlight w:val="none"/>
              </w:rPr>
            </w:pPr>
            <w:r>
              <w:rPr>
                <w:rFonts w:hint="eastAsia"/>
                <w:color w:val="auto"/>
                <w:highlight w:val="none"/>
              </w:rPr>
              <w:t>132</w:t>
            </w:r>
          </w:p>
        </w:tc>
      </w:tr>
      <w:tr>
        <w:tblPrEx>
          <w:tblW w:w="3285" w:type="pct"/>
          <w:jc w:val="center"/>
          <w:tblCellMar>
            <w:top w:w="0" w:type="dxa"/>
            <w:left w:w="108" w:type="dxa"/>
            <w:bottom w:w="0" w:type="dxa"/>
            <w:right w:w="108" w:type="dxa"/>
          </w:tblCellMar>
        </w:tblPrEx>
        <w:trPr>
          <w:trHeight w:val="270"/>
          <w:jc w:val="center"/>
        </w:trPr>
        <w:tc>
          <w:tcPr>
            <w:tcW w:w="2672" w:type="pct"/>
            <w:shd w:val="clear" w:color="auto" w:fill="auto"/>
            <w:noWrap/>
          </w:tcPr>
          <w:p>
            <w:pPr>
              <w:widowControl/>
              <w:spacing w:line="240" w:lineRule="auto"/>
              <w:ind w:left="0" w:firstLine="0" w:firstLineChars="0"/>
              <w:jc w:val="center"/>
              <w:rPr>
                <w:rFonts w:ascii="宋体" w:eastAsia="宋体" w:hAnsi="宋体" w:cs="宋体"/>
                <w:color w:val="auto"/>
                <w:kern w:val="0"/>
                <w:szCs w:val="21"/>
                <w:highlight w:val="none"/>
              </w:rPr>
            </w:pPr>
            <w:r>
              <w:rPr>
                <w:rFonts w:hint="eastAsia"/>
                <w:color w:val="auto"/>
                <w:highlight w:val="none"/>
              </w:rPr>
              <w:t>公共场所</w:t>
            </w:r>
          </w:p>
        </w:tc>
        <w:tc>
          <w:tcPr>
            <w:tcW w:w="2328" w:type="pct"/>
            <w:shd w:val="clear" w:color="auto" w:fill="auto"/>
            <w:noWrap/>
          </w:tcPr>
          <w:p>
            <w:pPr>
              <w:widowControl/>
              <w:spacing w:line="240" w:lineRule="auto"/>
              <w:ind w:left="0" w:firstLine="0" w:firstLineChars="0"/>
              <w:jc w:val="center"/>
              <w:rPr>
                <w:rFonts w:ascii="宋体" w:eastAsia="宋体" w:hAnsi="宋体" w:cs="宋体"/>
                <w:color w:val="auto"/>
                <w:kern w:val="0"/>
                <w:szCs w:val="21"/>
                <w:highlight w:val="none"/>
              </w:rPr>
            </w:pPr>
            <w:r>
              <w:rPr>
                <w:rFonts w:hint="eastAsia"/>
                <w:color w:val="auto"/>
                <w:highlight w:val="none"/>
              </w:rPr>
              <w:t>184</w:t>
            </w:r>
          </w:p>
        </w:tc>
      </w:tr>
      <w:tr>
        <w:tblPrEx>
          <w:tblW w:w="3285" w:type="pct"/>
          <w:jc w:val="center"/>
          <w:tblCellMar>
            <w:top w:w="0" w:type="dxa"/>
            <w:left w:w="108" w:type="dxa"/>
            <w:bottom w:w="0" w:type="dxa"/>
            <w:right w:w="108" w:type="dxa"/>
          </w:tblCellMar>
        </w:tblPrEx>
        <w:trPr>
          <w:trHeight w:val="270"/>
          <w:jc w:val="center"/>
        </w:trPr>
        <w:tc>
          <w:tcPr>
            <w:tcW w:w="2672" w:type="pct"/>
            <w:shd w:val="clear" w:color="auto" w:fill="auto"/>
            <w:noWrap/>
          </w:tcPr>
          <w:p>
            <w:pPr>
              <w:widowControl/>
              <w:spacing w:line="240" w:lineRule="auto"/>
              <w:ind w:left="0" w:firstLine="0" w:firstLineChars="0"/>
              <w:jc w:val="center"/>
              <w:rPr>
                <w:rFonts w:ascii="宋体" w:eastAsia="宋体" w:hAnsi="宋体" w:cs="宋体"/>
                <w:color w:val="auto"/>
                <w:kern w:val="0"/>
                <w:szCs w:val="21"/>
                <w:highlight w:val="none"/>
              </w:rPr>
            </w:pPr>
            <w:r>
              <w:rPr>
                <w:rFonts w:hint="eastAsia"/>
                <w:color w:val="auto"/>
                <w:highlight w:val="none"/>
              </w:rPr>
              <w:t>机场</w:t>
            </w:r>
          </w:p>
        </w:tc>
        <w:tc>
          <w:tcPr>
            <w:tcW w:w="2328" w:type="pct"/>
            <w:shd w:val="clear" w:color="auto" w:fill="auto"/>
            <w:noWrap/>
          </w:tcPr>
          <w:p>
            <w:pPr>
              <w:widowControl/>
              <w:spacing w:line="240" w:lineRule="auto"/>
              <w:ind w:left="0" w:firstLine="0" w:firstLineChars="0"/>
              <w:jc w:val="center"/>
              <w:rPr>
                <w:rFonts w:ascii="宋体" w:eastAsia="宋体" w:hAnsi="宋体" w:cs="宋体"/>
                <w:color w:val="auto"/>
                <w:kern w:val="0"/>
                <w:szCs w:val="21"/>
                <w:highlight w:val="none"/>
              </w:rPr>
            </w:pPr>
            <w:r>
              <w:rPr>
                <w:rFonts w:hint="eastAsia"/>
                <w:color w:val="auto"/>
                <w:highlight w:val="none"/>
              </w:rPr>
              <w:t>3</w:t>
            </w:r>
          </w:p>
        </w:tc>
      </w:tr>
      <w:tr>
        <w:tblPrEx>
          <w:tblW w:w="3285" w:type="pct"/>
          <w:jc w:val="center"/>
          <w:tblCellMar>
            <w:top w:w="0" w:type="dxa"/>
            <w:left w:w="108" w:type="dxa"/>
            <w:bottom w:w="0" w:type="dxa"/>
            <w:right w:w="108" w:type="dxa"/>
          </w:tblCellMar>
        </w:tblPrEx>
        <w:trPr>
          <w:trHeight w:val="270"/>
          <w:jc w:val="center"/>
        </w:trPr>
        <w:tc>
          <w:tcPr>
            <w:tcW w:w="2672" w:type="pct"/>
            <w:shd w:val="clear" w:color="auto" w:fill="auto"/>
            <w:noWrap/>
          </w:tcPr>
          <w:p>
            <w:pPr>
              <w:widowControl/>
              <w:spacing w:line="240" w:lineRule="auto"/>
              <w:ind w:left="0" w:firstLine="0" w:firstLineChars="0"/>
              <w:jc w:val="center"/>
              <w:rPr>
                <w:rFonts w:ascii="宋体" w:eastAsia="宋体" w:hAnsi="宋体" w:cs="宋体"/>
                <w:color w:val="auto"/>
                <w:kern w:val="0"/>
                <w:szCs w:val="21"/>
                <w:highlight w:val="none"/>
              </w:rPr>
            </w:pPr>
            <w:r>
              <w:rPr>
                <w:rFonts w:hint="eastAsia"/>
                <w:color w:val="auto"/>
                <w:highlight w:val="none"/>
              </w:rPr>
              <w:t>交通枢纽</w:t>
            </w:r>
          </w:p>
        </w:tc>
        <w:tc>
          <w:tcPr>
            <w:tcW w:w="2328" w:type="pct"/>
            <w:shd w:val="clear" w:color="auto" w:fill="auto"/>
            <w:noWrap/>
          </w:tcPr>
          <w:p>
            <w:pPr>
              <w:widowControl/>
              <w:spacing w:line="240" w:lineRule="auto"/>
              <w:ind w:left="0" w:firstLine="0" w:firstLineChars="0"/>
              <w:jc w:val="center"/>
              <w:rPr>
                <w:rFonts w:ascii="宋体" w:eastAsia="宋体" w:hAnsi="宋体" w:cs="宋体"/>
                <w:color w:val="auto"/>
                <w:kern w:val="0"/>
                <w:szCs w:val="21"/>
                <w:highlight w:val="none"/>
              </w:rPr>
            </w:pPr>
            <w:r>
              <w:rPr>
                <w:rFonts w:hint="eastAsia"/>
                <w:color w:val="auto"/>
                <w:highlight w:val="none"/>
              </w:rPr>
              <w:t>33</w:t>
            </w:r>
          </w:p>
        </w:tc>
      </w:tr>
      <w:tr>
        <w:tblPrEx>
          <w:tblW w:w="3285" w:type="pct"/>
          <w:jc w:val="center"/>
          <w:tblCellMar>
            <w:top w:w="0" w:type="dxa"/>
            <w:left w:w="108" w:type="dxa"/>
            <w:bottom w:w="0" w:type="dxa"/>
            <w:right w:w="108" w:type="dxa"/>
          </w:tblCellMar>
        </w:tblPrEx>
        <w:trPr>
          <w:trHeight w:val="270"/>
          <w:jc w:val="center"/>
        </w:trPr>
        <w:tc>
          <w:tcPr>
            <w:tcW w:w="2672" w:type="pct"/>
            <w:shd w:val="clear" w:color="auto" w:fill="auto"/>
            <w:noWrap/>
          </w:tcPr>
          <w:p>
            <w:pPr>
              <w:widowControl/>
              <w:spacing w:line="240" w:lineRule="auto"/>
              <w:ind w:left="0" w:firstLine="0" w:firstLineChars="0"/>
              <w:jc w:val="center"/>
              <w:rPr>
                <w:rFonts w:ascii="宋体" w:eastAsia="宋体" w:hAnsi="宋体" w:cs="宋体"/>
                <w:color w:val="auto"/>
                <w:kern w:val="0"/>
                <w:szCs w:val="21"/>
                <w:highlight w:val="none"/>
              </w:rPr>
            </w:pPr>
            <w:r>
              <w:rPr>
                <w:rFonts w:hint="eastAsia"/>
                <w:color w:val="auto"/>
                <w:highlight w:val="none"/>
              </w:rPr>
              <w:t>商场超市</w:t>
            </w:r>
          </w:p>
        </w:tc>
        <w:tc>
          <w:tcPr>
            <w:tcW w:w="2328" w:type="pct"/>
            <w:shd w:val="clear" w:color="auto" w:fill="auto"/>
            <w:noWrap/>
          </w:tcPr>
          <w:p>
            <w:pPr>
              <w:widowControl/>
              <w:spacing w:line="240" w:lineRule="auto"/>
              <w:ind w:left="0" w:firstLine="0" w:firstLineChars="0"/>
              <w:jc w:val="center"/>
              <w:rPr>
                <w:rFonts w:ascii="宋体" w:eastAsia="宋体" w:hAnsi="宋体" w:cs="宋体"/>
                <w:color w:val="auto"/>
                <w:kern w:val="0"/>
                <w:szCs w:val="21"/>
                <w:highlight w:val="none"/>
              </w:rPr>
            </w:pPr>
            <w:r>
              <w:rPr>
                <w:rFonts w:hint="eastAsia"/>
                <w:color w:val="auto"/>
                <w:highlight w:val="none"/>
              </w:rPr>
              <w:t>143</w:t>
            </w:r>
          </w:p>
        </w:tc>
      </w:tr>
      <w:tr>
        <w:tblPrEx>
          <w:tblW w:w="3285" w:type="pct"/>
          <w:jc w:val="center"/>
          <w:tblCellMar>
            <w:top w:w="0" w:type="dxa"/>
            <w:left w:w="108" w:type="dxa"/>
            <w:bottom w:w="0" w:type="dxa"/>
            <w:right w:w="108" w:type="dxa"/>
          </w:tblCellMar>
        </w:tblPrEx>
        <w:trPr>
          <w:trHeight w:val="270"/>
          <w:jc w:val="center"/>
        </w:trPr>
        <w:tc>
          <w:tcPr>
            <w:tcW w:w="2672" w:type="pct"/>
            <w:shd w:val="clear" w:color="auto" w:fill="auto"/>
            <w:noWrap/>
          </w:tcPr>
          <w:p>
            <w:pPr>
              <w:widowControl/>
              <w:spacing w:line="240" w:lineRule="auto"/>
              <w:ind w:left="0" w:firstLine="0" w:firstLineChars="0"/>
              <w:jc w:val="center"/>
              <w:rPr>
                <w:rFonts w:ascii="宋体" w:eastAsia="宋体" w:hAnsi="宋体" w:cs="宋体"/>
                <w:color w:val="auto"/>
                <w:kern w:val="0"/>
                <w:szCs w:val="21"/>
                <w:highlight w:val="none"/>
              </w:rPr>
            </w:pPr>
            <w:r>
              <w:rPr>
                <w:rFonts w:hint="eastAsia"/>
                <w:color w:val="auto"/>
                <w:highlight w:val="none"/>
              </w:rPr>
              <w:t>商务楼宇</w:t>
            </w:r>
          </w:p>
        </w:tc>
        <w:tc>
          <w:tcPr>
            <w:tcW w:w="2328" w:type="pct"/>
            <w:shd w:val="clear" w:color="auto" w:fill="auto"/>
            <w:noWrap/>
          </w:tcPr>
          <w:p>
            <w:pPr>
              <w:widowControl/>
              <w:spacing w:line="240" w:lineRule="auto"/>
              <w:ind w:left="0" w:firstLine="0" w:firstLineChars="0"/>
              <w:jc w:val="center"/>
              <w:rPr>
                <w:rFonts w:ascii="宋体" w:eastAsia="宋体" w:hAnsi="宋体" w:cs="宋体"/>
                <w:color w:val="auto"/>
                <w:kern w:val="0"/>
                <w:szCs w:val="21"/>
                <w:highlight w:val="none"/>
              </w:rPr>
            </w:pPr>
            <w:r>
              <w:rPr>
                <w:rFonts w:hint="eastAsia"/>
                <w:color w:val="auto"/>
                <w:highlight w:val="none"/>
              </w:rPr>
              <w:t>281</w:t>
            </w:r>
          </w:p>
        </w:tc>
      </w:tr>
      <w:tr>
        <w:tblPrEx>
          <w:tblW w:w="3285" w:type="pct"/>
          <w:jc w:val="center"/>
          <w:tblCellMar>
            <w:top w:w="0" w:type="dxa"/>
            <w:left w:w="108" w:type="dxa"/>
            <w:bottom w:w="0" w:type="dxa"/>
            <w:right w:w="108" w:type="dxa"/>
          </w:tblCellMar>
        </w:tblPrEx>
        <w:trPr>
          <w:trHeight w:val="270"/>
          <w:jc w:val="center"/>
        </w:trPr>
        <w:tc>
          <w:tcPr>
            <w:tcW w:w="2672" w:type="pct"/>
            <w:shd w:val="clear" w:color="auto" w:fill="auto"/>
            <w:noWrap/>
          </w:tcPr>
          <w:p>
            <w:pPr>
              <w:widowControl/>
              <w:spacing w:line="240" w:lineRule="auto"/>
              <w:ind w:left="0" w:firstLine="0" w:firstLineChars="0"/>
              <w:jc w:val="center"/>
              <w:rPr>
                <w:rFonts w:ascii="宋体" w:eastAsia="宋体" w:hAnsi="宋体" w:cs="宋体"/>
                <w:color w:val="auto"/>
                <w:kern w:val="0"/>
                <w:szCs w:val="21"/>
                <w:highlight w:val="none"/>
              </w:rPr>
            </w:pPr>
            <w:r>
              <w:rPr>
                <w:rFonts w:hint="eastAsia"/>
                <w:color w:val="auto"/>
                <w:highlight w:val="none"/>
              </w:rPr>
              <w:t>隧道</w:t>
            </w:r>
          </w:p>
        </w:tc>
        <w:tc>
          <w:tcPr>
            <w:tcW w:w="2328" w:type="pct"/>
            <w:shd w:val="clear" w:color="auto" w:fill="auto"/>
            <w:noWrap/>
          </w:tcPr>
          <w:p>
            <w:pPr>
              <w:widowControl/>
              <w:spacing w:line="240" w:lineRule="auto"/>
              <w:ind w:left="0" w:firstLine="0" w:firstLineChars="0"/>
              <w:jc w:val="center"/>
              <w:rPr>
                <w:rFonts w:ascii="宋体" w:hAnsi="宋体" w:cs="宋体"/>
                <w:color w:val="auto"/>
                <w:kern w:val="0"/>
                <w:szCs w:val="21"/>
                <w:highlight w:val="none"/>
              </w:rPr>
            </w:pPr>
            <w:r>
              <w:rPr>
                <w:rFonts w:hint="eastAsia"/>
                <w:color w:val="auto"/>
                <w:highlight w:val="none"/>
              </w:rPr>
              <w:t>27</w:t>
            </w:r>
          </w:p>
        </w:tc>
      </w:tr>
      <w:tr>
        <w:tblPrEx>
          <w:tblW w:w="3285" w:type="pct"/>
          <w:jc w:val="center"/>
          <w:tblCellMar>
            <w:top w:w="0" w:type="dxa"/>
            <w:left w:w="108" w:type="dxa"/>
            <w:bottom w:w="0" w:type="dxa"/>
            <w:right w:w="108" w:type="dxa"/>
          </w:tblCellMar>
        </w:tblPrEx>
        <w:trPr>
          <w:trHeight w:val="270"/>
          <w:jc w:val="center"/>
        </w:trPr>
        <w:tc>
          <w:tcPr>
            <w:tcW w:w="2672" w:type="pct"/>
            <w:shd w:val="clear" w:color="auto" w:fill="auto"/>
            <w:noWrap/>
          </w:tcPr>
          <w:p>
            <w:pPr>
              <w:widowControl/>
              <w:spacing w:line="240" w:lineRule="auto"/>
              <w:ind w:left="0" w:firstLine="0" w:firstLineChars="0"/>
              <w:jc w:val="center"/>
              <w:rPr>
                <w:rFonts w:ascii="宋体" w:eastAsia="宋体" w:hAnsi="宋体" w:cs="宋体"/>
                <w:color w:val="auto"/>
                <w:kern w:val="0"/>
                <w:szCs w:val="21"/>
                <w:highlight w:val="none"/>
              </w:rPr>
            </w:pPr>
            <w:r>
              <w:rPr>
                <w:rFonts w:hint="eastAsia"/>
                <w:color w:val="auto"/>
                <w:highlight w:val="none"/>
              </w:rPr>
              <w:t>校园</w:t>
            </w:r>
          </w:p>
        </w:tc>
        <w:tc>
          <w:tcPr>
            <w:tcW w:w="2328" w:type="pct"/>
            <w:shd w:val="clear" w:color="auto" w:fill="auto"/>
            <w:noWrap/>
          </w:tcPr>
          <w:p>
            <w:pPr>
              <w:widowControl/>
              <w:spacing w:line="240" w:lineRule="auto"/>
              <w:ind w:left="0" w:firstLine="0" w:firstLineChars="0"/>
              <w:jc w:val="center"/>
              <w:rPr>
                <w:rFonts w:ascii="宋体" w:eastAsia="宋体" w:hAnsi="宋体" w:cs="宋体"/>
                <w:color w:val="auto"/>
                <w:kern w:val="0"/>
                <w:szCs w:val="21"/>
                <w:highlight w:val="none"/>
              </w:rPr>
            </w:pPr>
            <w:r>
              <w:rPr>
                <w:rFonts w:hint="eastAsia"/>
                <w:color w:val="auto"/>
                <w:highlight w:val="none"/>
              </w:rPr>
              <w:t>156</w:t>
            </w:r>
          </w:p>
        </w:tc>
      </w:tr>
      <w:tr>
        <w:tblPrEx>
          <w:tblW w:w="3285" w:type="pct"/>
          <w:jc w:val="center"/>
          <w:tblCellMar>
            <w:top w:w="0" w:type="dxa"/>
            <w:left w:w="108" w:type="dxa"/>
            <w:bottom w:w="0" w:type="dxa"/>
            <w:right w:w="108" w:type="dxa"/>
          </w:tblCellMar>
        </w:tblPrEx>
        <w:trPr>
          <w:trHeight w:val="270"/>
          <w:jc w:val="center"/>
        </w:trPr>
        <w:tc>
          <w:tcPr>
            <w:tcW w:w="2672" w:type="pct"/>
            <w:shd w:val="clear" w:color="auto" w:fill="auto"/>
            <w:noWrap/>
          </w:tcPr>
          <w:p>
            <w:pPr>
              <w:widowControl/>
              <w:spacing w:line="240" w:lineRule="auto"/>
              <w:ind w:left="0" w:firstLine="0" w:firstLineChars="0"/>
              <w:jc w:val="center"/>
              <w:rPr>
                <w:rFonts w:ascii="宋体" w:eastAsia="宋体" w:hAnsi="宋体" w:cs="宋体"/>
                <w:color w:val="auto"/>
                <w:kern w:val="0"/>
                <w:szCs w:val="21"/>
                <w:highlight w:val="none"/>
              </w:rPr>
            </w:pPr>
            <w:r>
              <w:rPr>
                <w:rFonts w:hint="eastAsia"/>
                <w:color w:val="auto"/>
                <w:highlight w:val="none"/>
              </w:rPr>
              <w:t>休闲场所</w:t>
            </w:r>
          </w:p>
        </w:tc>
        <w:tc>
          <w:tcPr>
            <w:tcW w:w="2328" w:type="pct"/>
            <w:shd w:val="clear" w:color="auto" w:fill="auto"/>
            <w:noWrap/>
          </w:tcPr>
          <w:p>
            <w:pPr>
              <w:widowControl/>
              <w:spacing w:line="240" w:lineRule="auto"/>
              <w:ind w:left="0" w:firstLine="0" w:firstLineChars="0"/>
              <w:jc w:val="center"/>
              <w:rPr>
                <w:rFonts w:ascii="宋体" w:eastAsia="宋体" w:hAnsi="宋体" w:cs="宋体"/>
                <w:color w:val="auto"/>
                <w:kern w:val="0"/>
                <w:szCs w:val="21"/>
                <w:highlight w:val="none"/>
              </w:rPr>
            </w:pPr>
            <w:r>
              <w:rPr>
                <w:rFonts w:hint="eastAsia"/>
                <w:color w:val="auto"/>
                <w:highlight w:val="none"/>
              </w:rPr>
              <w:t>81</w:t>
            </w:r>
          </w:p>
        </w:tc>
      </w:tr>
      <w:tr>
        <w:tblPrEx>
          <w:tblW w:w="3285" w:type="pct"/>
          <w:jc w:val="center"/>
          <w:tblCellMar>
            <w:top w:w="0" w:type="dxa"/>
            <w:left w:w="108" w:type="dxa"/>
            <w:bottom w:w="0" w:type="dxa"/>
            <w:right w:w="108" w:type="dxa"/>
          </w:tblCellMar>
        </w:tblPrEx>
        <w:trPr>
          <w:trHeight w:val="270"/>
          <w:jc w:val="center"/>
        </w:trPr>
        <w:tc>
          <w:tcPr>
            <w:tcW w:w="2672" w:type="pct"/>
            <w:shd w:val="clear" w:color="auto" w:fill="auto"/>
            <w:noWrap/>
          </w:tcPr>
          <w:p>
            <w:pPr>
              <w:widowControl/>
              <w:spacing w:line="240" w:lineRule="auto"/>
              <w:ind w:left="0" w:firstLine="0" w:firstLineChars="0"/>
              <w:jc w:val="center"/>
              <w:rPr>
                <w:rFonts w:ascii="宋体" w:eastAsia="宋体" w:hAnsi="宋体" w:cs="宋体"/>
                <w:color w:val="auto"/>
                <w:kern w:val="0"/>
                <w:szCs w:val="21"/>
                <w:highlight w:val="none"/>
              </w:rPr>
            </w:pPr>
            <w:r>
              <w:rPr>
                <w:rFonts w:hint="eastAsia"/>
                <w:color w:val="auto"/>
                <w:highlight w:val="none"/>
              </w:rPr>
              <w:t>医院</w:t>
            </w:r>
          </w:p>
        </w:tc>
        <w:tc>
          <w:tcPr>
            <w:tcW w:w="2328" w:type="pct"/>
            <w:shd w:val="clear" w:color="auto" w:fill="auto"/>
            <w:noWrap/>
          </w:tcPr>
          <w:p>
            <w:pPr>
              <w:widowControl/>
              <w:spacing w:line="240" w:lineRule="auto"/>
              <w:ind w:left="0" w:firstLine="0" w:firstLineChars="0"/>
              <w:jc w:val="center"/>
              <w:rPr>
                <w:rFonts w:ascii="宋体" w:eastAsia="宋体" w:hAnsi="宋体" w:cs="宋体"/>
                <w:color w:val="auto"/>
                <w:kern w:val="0"/>
                <w:szCs w:val="21"/>
                <w:highlight w:val="none"/>
              </w:rPr>
            </w:pPr>
            <w:r>
              <w:rPr>
                <w:rFonts w:hint="eastAsia"/>
                <w:color w:val="auto"/>
                <w:highlight w:val="none"/>
              </w:rPr>
              <w:t>156</w:t>
            </w:r>
          </w:p>
        </w:tc>
      </w:tr>
      <w:tr>
        <w:tblPrEx>
          <w:tblW w:w="3285" w:type="pct"/>
          <w:jc w:val="center"/>
          <w:tblCellMar>
            <w:top w:w="0" w:type="dxa"/>
            <w:left w:w="108" w:type="dxa"/>
            <w:bottom w:w="0" w:type="dxa"/>
            <w:right w:w="108" w:type="dxa"/>
          </w:tblCellMar>
        </w:tblPrEx>
        <w:trPr>
          <w:trHeight w:val="270"/>
          <w:jc w:val="center"/>
        </w:trPr>
        <w:tc>
          <w:tcPr>
            <w:tcW w:w="2672" w:type="pct"/>
            <w:shd w:val="clear" w:color="auto" w:fill="auto"/>
            <w:noWrap/>
          </w:tcPr>
          <w:p>
            <w:pPr>
              <w:widowControl/>
              <w:spacing w:line="240" w:lineRule="auto"/>
              <w:ind w:left="0" w:firstLine="0" w:firstLineChars="0"/>
              <w:jc w:val="center"/>
              <w:rPr>
                <w:rFonts w:ascii="宋体" w:eastAsia="宋体" w:hAnsi="宋体" w:cs="宋体"/>
                <w:color w:val="auto"/>
                <w:kern w:val="0"/>
                <w:szCs w:val="21"/>
                <w:highlight w:val="none"/>
              </w:rPr>
            </w:pPr>
            <w:r>
              <w:rPr>
                <w:rFonts w:hint="eastAsia"/>
                <w:color w:val="auto"/>
                <w:highlight w:val="none"/>
              </w:rPr>
              <w:t>园区</w:t>
            </w:r>
          </w:p>
        </w:tc>
        <w:tc>
          <w:tcPr>
            <w:tcW w:w="2328" w:type="pct"/>
            <w:shd w:val="clear" w:color="auto" w:fill="auto"/>
            <w:noWrap/>
          </w:tcPr>
          <w:p>
            <w:pPr>
              <w:widowControl/>
              <w:spacing w:line="240" w:lineRule="auto"/>
              <w:ind w:left="0" w:firstLine="0" w:firstLineChars="0"/>
              <w:jc w:val="center"/>
              <w:rPr>
                <w:rFonts w:ascii="宋体" w:eastAsia="宋体" w:hAnsi="宋体" w:cs="宋体"/>
                <w:color w:val="auto"/>
                <w:kern w:val="0"/>
                <w:szCs w:val="21"/>
                <w:highlight w:val="none"/>
              </w:rPr>
            </w:pPr>
            <w:r>
              <w:rPr>
                <w:rFonts w:hint="eastAsia"/>
                <w:color w:val="auto"/>
                <w:highlight w:val="none"/>
              </w:rPr>
              <w:t>364</w:t>
            </w:r>
          </w:p>
        </w:tc>
      </w:tr>
      <w:tr>
        <w:tblPrEx>
          <w:tblW w:w="3285" w:type="pct"/>
          <w:jc w:val="center"/>
          <w:tblCellMar>
            <w:top w:w="0" w:type="dxa"/>
            <w:left w:w="108" w:type="dxa"/>
            <w:bottom w:w="0" w:type="dxa"/>
            <w:right w:w="108" w:type="dxa"/>
          </w:tblCellMar>
        </w:tblPrEx>
        <w:trPr>
          <w:trHeight w:val="270"/>
          <w:jc w:val="center"/>
        </w:trPr>
        <w:tc>
          <w:tcPr>
            <w:tcW w:w="2672" w:type="pct"/>
            <w:shd w:val="clear" w:color="auto" w:fill="auto"/>
            <w:noWrap/>
          </w:tcPr>
          <w:p>
            <w:pPr>
              <w:widowControl/>
              <w:spacing w:line="240" w:lineRule="auto"/>
              <w:ind w:left="0" w:firstLine="0" w:firstLineChars="0"/>
              <w:jc w:val="center"/>
              <w:rPr>
                <w:rFonts w:ascii="宋体" w:eastAsia="宋体" w:hAnsi="宋体" w:cs="宋体"/>
                <w:color w:val="auto"/>
                <w:kern w:val="0"/>
                <w:szCs w:val="21"/>
                <w:highlight w:val="none"/>
              </w:rPr>
            </w:pPr>
            <w:r>
              <w:rPr>
                <w:rFonts w:hint="eastAsia"/>
                <w:color w:val="auto"/>
                <w:highlight w:val="none"/>
              </w:rPr>
              <w:t>住宅小区</w:t>
            </w:r>
          </w:p>
        </w:tc>
        <w:tc>
          <w:tcPr>
            <w:tcW w:w="2328" w:type="pct"/>
            <w:shd w:val="clear" w:color="auto" w:fill="auto"/>
            <w:noWrap/>
          </w:tcPr>
          <w:p>
            <w:pPr>
              <w:widowControl/>
              <w:spacing w:line="240" w:lineRule="auto"/>
              <w:ind w:left="0" w:firstLine="0" w:firstLineChars="0"/>
              <w:jc w:val="center"/>
              <w:rPr>
                <w:rFonts w:ascii="宋体" w:eastAsia="宋体" w:hAnsi="宋体" w:cs="宋体"/>
                <w:color w:val="auto"/>
                <w:kern w:val="0"/>
                <w:szCs w:val="21"/>
                <w:highlight w:val="none"/>
              </w:rPr>
            </w:pPr>
            <w:r>
              <w:rPr>
                <w:rFonts w:hint="eastAsia"/>
                <w:color w:val="auto"/>
                <w:highlight w:val="none"/>
              </w:rPr>
              <w:t>1845</w:t>
            </w:r>
          </w:p>
        </w:tc>
      </w:tr>
      <w:tr>
        <w:tblPrEx>
          <w:tblW w:w="3285" w:type="pct"/>
          <w:jc w:val="center"/>
          <w:tblCellMar>
            <w:top w:w="0" w:type="dxa"/>
            <w:left w:w="108" w:type="dxa"/>
            <w:bottom w:w="0" w:type="dxa"/>
            <w:right w:w="108" w:type="dxa"/>
          </w:tblCellMar>
        </w:tblPrEx>
        <w:trPr>
          <w:trHeight w:val="270"/>
          <w:jc w:val="center"/>
        </w:trPr>
        <w:tc>
          <w:tcPr>
            <w:tcW w:w="2672" w:type="pct"/>
            <w:shd w:val="clear" w:color="auto" w:fill="auto"/>
            <w:noWrap/>
          </w:tcPr>
          <w:p>
            <w:pPr>
              <w:widowControl/>
              <w:spacing w:line="240" w:lineRule="auto"/>
              <w:ind w:left="0" w:firstLine="0" w:firstLineChars="0"/>
              <w:jc w:val="center"/>
              <w:rPr>
                <w:color w:val="auto"/>
                <w:highlight w:val="none"/>
              </w:rPr>
            </w:pPr>
            <w:r>
              <w:rPr>
                <w:rFonts w:hint="eastAsia"/>
                <w:color w:val="auto"/>
                <w:highlight w:val="none"/>
              </w:rPr>
              <w:t>总计</w:t>
            </w:r>
          </w:p>
        </w:tc>
        <w:tc>
          <w:tcPr>
            <w:tcW w:w="2328" w:type="pct"/>
            <w:shd w:val="clear" w:color="auto" w:fill="auto"/>
            <w:noWrap/>
          </w:tcPr>
          <w:p>
            <w:pPr>
              <w:widowControl/>
              <w:spacing w:line="240" w:lineRule="auto"/>
              <w:ind w:left="0" w:firstLine="0" w:firstLineChars="0"/>
              <w:jc w:val="center"/>
              <w:rPr>
                <w:color w:val="auto"/>
                <w:highlight w:val="none"/>
              </w:rPr>
            </w:pPr>
            <w:r>
              <w:rPr>
                <w:rFonts w:hint="eastAsia"/>
                <w:color w:val="auto"/>
                <w:highlight w:val="none"/>
              </w:rPr>
              <w:t>3602</w:t>
            </w:r>
          </w:p>
        </w:tc>
      </w:tr>
    </w:tbl>
    <w:p>
      <w:pPr>
        <w:pStyle w:val="4-"/>
        <w:numPr>
          <w:ilvl w:val="0"/>
          <w:numId w:val="0"/>
        </w:numPr>
        <w:rPr>
          <w:rFonts w:ascii="Times New Roman" w:eastAsia="宋体" w:hAnsi="Times New Roman" w:cs="宋体" w:hint="eastAsia"/>
          <w:b/>
          <w:bCs/>
          <w:color w:val="auto"/>
          <w:kern w:val="0"/>
          <w:sz w:val="21"/>
          <w:szCs w:val="21"/>
          <w:highlight w:val="none"/>
        </w:rPr>
      </w:pPr>
    </w:p>
    <w:p>
      <w:pPr>
        <w:pStyle w:val="Heading3"/>
        <w:spacing w:line="240" w:lineRule="auto"/>
        <w:ind w:left="0" w:firstLine="482"/>
        <w:rPr>
          <w:rFonts w:ascii="Times New Roman" w:eastAsia="宋体" w:hAnsi="Times New Roman" w:cstheme="majorEastAsia"/>
          <w:color w:val="auto"/>
          <w:sz w:val="24"/>
          <w:szCs w:val="24"/>
          <w:highlight w:val="none"/>
        </w:rPr>
      </w:pPr>
      <w:bookmarkStart w:id="36" w:name="_Toc29600"/>
      <w:bookmarkStart w:id="37" w:name="_Toc41931663"/>
      <w:r>
        <w:rPr>
          <w:rFonts w:ascii="Times New Roman" w:eastAsia="宋体" w:hAnsi="Times New Roman" w:cstheme="majorEastAsia" w:hint="eastAsia"/>
          <w:color w:val="auto"/>
          <w:sz w:val="24"/>
          <w:szCs w:val="24"/>
          <w:highlight w:val="none"/>
        </w:rPr>
        <w:t>二、5G室内分布基站分规划方案</w:t>
      </w:r>
      <w:bookmarkEnd w:id="36"/>
      <w:bookmarkEnd w:id="37"/>
    </w:p>
    <w:p>
      <w:pPr>
        <w:spacing w:line="240" w:lineRule="auto"/>
        <w:ind w:left="0" w:firstLine="480"/>
        <w:rPr>
          <w:rFonts w:ascii="Times New Roman" w:eastAsia="宋体" w:hAnsi="Times New Roman"/>
          <w:color w:val="auto"/>
          <w:sz w:val="24"/>
          <w:szCs w:val="24"/>
          <w:highlight w:val="none"/>
        </w:rPr>
      </w:pPr>
      <w:r>
        <w:rPr>
          <w:rFonts w:asciiTheme="minorEastAsia" w:hAnsiTheme="minorEastAsia" w:cs="宋体" w:hint="eastAsia"/>
          <w:color w:val="auto"/>
          <w:sz w:val="24"/>
          <w:szCs w:val="24"/>
          <w:highlight w:val="none"/>
        </w:rPr>
        <w:t>根据各电信企业自身现网情况结合未来业务发展趋势，规划5G室内分布基站（物业点）</w:t>
      </w:r>
      <w:r>
        <w:rPr>
          <w:rFonts w:asciiTheme="minorEastAsia" w:hAnsiTheme="minorEastAsia" w:cs="宋体"/>
          <w:color w:val="auto"/>
          <w:sz w:val="24"/>
          <w:szCs w:val="24"/>
          <w:highlight w:val="none"/>
        </w:rPr>
        <w:t>360</w:t>
      </w:r>
      <w:r>
        <w:rPr>
          <w:rFonts w:asciiTheme="minorEastAsia" w:hAnsiTheme="minorEastAsia" w:cs="宋体" w:hint="eastAsia"/>
          <w:color w:val="auto"/>
          <w:sz w:val="24"/>
          <w:szCs w:val="24"/>
          <w:highlight w:val="none"/>
        </w:rPr>
        <w:t>2个，其中交通枢纽</w:t>
      </w:r>
      <w:r>
        <w:rPr>
          <w:rFonts w:asciiTheme="minorEastAsia" w:hAnsiTheme="minorEastAsia" w:cs="宋体"/>
          <w:color w:val="auto"/>
          <w:sz w:val="24"/>
          <w:szCs w:val="24"/>
          <w:highlight w:val="none"/>
        </w:rPr>
        <w:t>33</w:t>
      </w:r>
      <w:r>
        <w:rPr>
          <w:rFonts w:asciiTheme="minorEastAsia" w:hAnsiTheme="minorEastAsia" w:cs="宋体" w:hint="eastAsia"/>
          <w:color w:val="auto"/>
          <w:sz w:val="24"/>
          <w:szCs w:val="24"/>
          <w:highlight w:val="none"/>
        </w:rPr>
        <w:t>个，机场</w:t>
      </w:r>
      <w:r>
        <w:rPr>
          <w:rFonts w:asciiTheme="minorEastAsia" w:hAnsiTheme="minorEastAsia" w:cs="宋体"/>
          <w:color w:val="auto"/>
          <w:sz w:val="24"/>
          <w:szCs w:val="24"/>
          <w:highlight w:val="none"/>
        </w:rPr>
        <w:t>3</w:t>
      </w:r>
      <w:r>
        <w:rPr>
          <w:rFonts w:asciiTheme="minorEastAsia" w:hAnsiTheme="minorEastAsia" w:cs="宋体" w:hint="eastAsia"/>
          <w:color w:val="auto"/>
          <w:sz w:val="24"/>
          <w:szCs w:val="24"/>
          <w:highlight w:val="none"/>
        </w:rPr>
        <w:t>个，大型场馆</w:t>
      </w:r>
      <w:r>
        <w:rPr>
          <w:rFonts w:asciiTheme="minorEastAsia" w:hAnsiTheme="minorEastAsia" w:cs="宋体"/>
          <w:color w:val="auto"/>
          <w:sz w:val="24"/>
          <w:szCs w:val="24"/>
          <w:highlight w:val="none"/>
        </w:rPr>
        <w:t>2</w:t>
      </w:r>
      <w:r>
        <w:rPr>
          <w:rFonts w:asciiTheme="minorEastAsia" w:hAnsiTheme="minorEastAsia" w:cs="宋体" w:hint="eastAsia"/>
          <w:color w:val="auto"/>
          <w:sz w:val="24"/>
          <w:szCs w:val="24"/>
          <w:highlight w:val="none"/>
        </w:rPr>
        <w:t>7个，商务楼宇</w:t>
      </w:r>
      <w:r>
        <w:rPr>
          <w:rFonts w:asciiTheme="minorEastAsia" w:hAnsiTheme="minorEastAsia" w:cs="宋体"/>
          <w:color w:val="auto"/>
          <w:sz w:val="24"/>
          <w:szCs w:val="24"/>
          <w:highlight w:val="none"/>
        </w:rPr>
        <w:t>281</w:t>
      </w:r>
      <w:r>
        <w:rPr>
          <w:rFonts w:asciiTheme="minorEastAsia" w:hAnsiTheme="minorEastAsia" w:cs="宋体" w:hint="eastAsia"/>
          <w:color w:val="auto"/>
          <w:sz w:val="24"/>
          <w:szCs w:val="24"/>
          <w:highlight w:val="none"/>
        </w:rPr>
        <w:t>个，党政机关</w:t>
      </w:r>
      <w:r>
        <w:rPr>
          <w:rFonts w:asciiTheme="minorEastAsia" w:hAnsiTheme="minorEastAsia" w:cs="宋体"/>
          <w:color w:val="auto"/>
          <w:sz w:val="24"/>
          <w:szCs w:val="24"/>
          <w:highlight w:val="none"/>
        </w:rPr>
        <w:t>132</w:t>
      </w:r>
      <w:r>
        <w:rPr>
          <w:rFonts w:asciiTheme="minorEastAsia" w:hAnsiTheme="minorEastAsia" w:cs="宋体" w:hint="eastAsia"/>
          <w:color w:val="auto"/>
          <w:sz w:val="24"/>
          <w:szCs w:val="24"/>
          <w:highlight w:val="none"/>
        </w:rPr>
        <w:t>个，校园</w:t>
      </w:r>
      <w:r>
        <w:rPr>
          <w:rFonts w:asciiTheme="minorEastAsia" w:hAnsiTheme="minorEastAsia" w:cs="宋体"/>
          <w:color w:val="auto"/>
          <w:sz w:val="24"/>
          <w:szCs w:val="24"/>
          <w:highlight w:val="none"/>
        </w:rPr>
        <w:t>156</w:t>
      </w:r>
      <w:r>
        <w:rPr>
          <w:rFonts w:asciiTheme="minorEastAsia" w:hAnsiTheme="minorEastAsia" w:cs="宋体" w:hint="eastAsia"/>
          <w:color w:val="auto"/>
          <w:sz w:val="24"/>
          <w:szCs w:val="24"/>
          <w:highlight w:val="none"/>
        </w:rPr>
        <w:t>个，医院</w:t>
      </w:r>
      <w:r>
        <w:rPr>
          <w:rFonts w:asciiTheme="minorEastAsia" w:hAnsiTheme="minorEastAsia" w:cs="宋体"/>
          <w:color w:val="auto"/>
          <w:sz w:val="24"/>
          <w:szCs w:val="24"/>
          <w:highlight w:val="none"/>
        </w:rPr>
        <w:t>156</w:t>
      </w:r>
      <w:r>
        <w:rPr>
          <w:rFonts w:asciiTheme="minorEastAsia" w:hAnsiTheme="minorEastAsia" w:cs="宋体" w:hint="eastAsia"/>
          <w:color w:val="auto"/>
          <w:sz w:val="24"/>
          <w:szCs w:val="24"/>
          <w:highlight w:val="none"/>
        </w:rPr>
        <w:t>个，公共场所</w:t>
      </w:r>
      <w:r>
        <w:rPr>
          <w:rFonts w:asciiTheme="minorEastAsia" w:hAnsiTheme="minorEastAsia" w:cs="宋体"/>
          <w:color w:val="auto"/>
          <w:sz w:val="24"/>
          <w:szCs w:val="24"/>
          <w:highlight w:val="none"/>
        </w:rPr>
        <w:t>184</w:t>
      </w:r>
      <w:r>
        <w:rPr>
          <w:rFonts w:asciiTheme="minorEastAsia" w:hAnsiTheme="minorEastAsia" w:cs="宋体" w:hint="eastAsia"/>
          <w:color w:val="auto"/>
          <w:sz w:val="24"/>
          <w:szCs w:val="24"/>
          <w:highlight w:val="none"/>
        </w:rPr>
        <w:t>个，宾馆酒店</w:t>
      </w:r>
      <w:r>
        <w:rPr>
          <w:rFonts w:asciiTheme="minorEastAsia" w:hAnsiTheme="minorEastAsia" w:cs="宋体"/>
          <w:color w:val="auto"/>
          <w:sz w:val="24"/>
          <w:szCs w:val="24"/>
          <w:highlight w:val="none"/>
        </w:rPr>
        <w:t>170</w:t>
      </w:r>
      <w:r>
        <w:rPr>
          <w:rFonts w:asciiTheme="minorEastAsia" w:hAnsiTheme="minorEastAsia" w:cs="宋体" w:hint="eastAsia"/>
          <w:color w:val="auto"/>
          <w:sz w:val="24"/>
          <w:szCs w:val="24"/>
          <w:highlight w:val="none"/>
        </w:rPr>
        <w:t>个，商场超市</w:t>
      </w:r>
      <w:r>
        <w:rPr>
          <w:rFonts w:asciiTheme="minorEastAsia" w:hAnsiTheme="minorEastAsia" w:cs="宋体"/>
          <w:color w:val="auto"/>
          <w:sz w:val="24"/>
          <w:szCs w:val="24"/>
          <w:highlight w:val="none"/>
        </w:rPr>
        <w:t>143</w:t>
      </w:r>
      <w:r>
        <w:rPr>
          <w:rFonts w:asciiTheme="minorEastAsia" w:hAnsiTheme="minorEastAsia" w:cs="宋体" w:hint="eastAsia"/>
          <w:color w:val="auto"/>
          <w:sz w:val="24"/>
          <w:szCs w:val="24"/>
          <w:highlight w:val="none"/>
        </w:rPr>
        <w:t>个，园区</w:t>
      </w:r>
      <w:r>
        <w:rPr>
          <w:rFonts w:asciiTheme="minorEastAsia" w:hAnsiTheme="minorEastAsia" w:cs="宋体"/>
          <w:color w:val="auto"/>
          <w:sz w:val="24"/>
          <w:szCs w:val="24"/>
          <w:highlight w:val="none"/>
        </w:rPr>
        <w:t>364</w:t>
      </w:r>
      <w:r>
        <w:rPr>
          <w:rFonts w:asciiTheme="minorEastAsia" w:hAnsiTheme="minorEastAsia" w:cs="宋体" w:hint="eastAsia"/>
          <w:color w:val="auto"/>
          <w:sz w:val="24"/>
          <w:szCs w:val="24"/>
          <w:highlight w:val="none"/>
        </w:rPr>
        <w:t>个，休闲场所</w:t>
      </w:r>
      <w:r>
        <w:rPr>
          <w:rFonts w:asciiTheme="minorEastAsia" w:hAnsiTheme="minorEastAsia" w:cs="宋体"/>
          <w:color w:val="auto"/>
          <w:sz w:val="24"/>
          <w:szCs w:val="24"/>
          <w:highlight w:val="none"/>
        </w:rPr>
        <w:t>81</w:t>
      </w:r>
      <w:r>
        <w:rPr>
          <w:rFonts w:asciiTheme="minorEastAsia" w:hAnsiTheme="minorEastAsia" w:cs="宋体" w:hint="eastAsia"/>
          <w:color w:val="auto"/>
          <w:sz w:val="24"/>
          <w:szCs w:val="24"/>
          <w:highlight w:val="none"/>
        </w:rPr>
        <w:t>个，住宅小区</w:t>
      </w:r>
      <w:r>
        <w:rPr>
          <w:rFonts w:asciiTheme="minorEastAsia" w:hAnsiTheme="minorEastAsia" w:cs="宋体"/>
          <w:color w:val="auto"/>
          <w:sz w:val="24"/>
          <w:szCs w:val="24"/>
          <w:highlight w:val="none"/>
        </w:rPr>
        <w:t>1845</w:t>
      </w:r>
      <w:r>
        <w:rPr>
          <w:rFonts w:asciiTheme="minorEastAsia" w:hAnsiTheme="minorEastAsia" w:cs="宋体" w:hint="eastAsia"/>
          <w:color w:val="auto"/>
          <w:sz w:val="24"/>
          <w:szCs w:val="24"/>
          <w:highlight w:val="none"/>
        </w:rPr>
        <w:t>个，隧道</w:t>
      </w:r>
      <w:r>
        <w:rPr>
          <w:rFonts w:asciiTheme="minorEastAsia" w:hAnsiTheme="minorEastAsia" w:cs="宋体"/>
          <w:color w:val="auto"/>
          <w:sz w:val="24"/>
          <w:szCs w:val="24"/>
          <w:highlight w:val="none"/>
        </w:rPr>
        <w:t>27</w:t>
      </w:r>
      <w:r>
        <w:rPr>
          <w:rFonts w:asciiTheme="minorEastAsia" w:hAnsiTheme="minorEastAsia" w:cs="宋体" w:hint="eastAsia"/>
          <w:color w:val="auto"/>
          <w:sz w:val="24"/>
          <w:szCs w:val="24"/>
          <w:highlight w:val="none"/>
        </w:rPr>
        <w:t>个。各县区规划情况如下表</w:t>
      </w:r>
      <w:r>
        <w:rPr>
          <w:rFonts w:asciiTheme="minorEastAsia" w:hAnsiTheme="minorEastAsia" w:hint="eastAsia"/>
          <w:color w:val="auto"/>
          <w:sz w:val="24"/>
          <w:szCs w:val="24"/>
          <w:highlight w:val="none"/>
        </w:rPr>
        <w:t>：</w:t>
      </w:r>
    </w:p>
    <w:p>
      <w:pPr>
        <w:spacing w:line="240" w:lineRule="auto"/>
        <w:ind w:left="0" w:firstLine="480"/>
        <w:jc w:val="center"/>
        <w:rPr>
          <w:rFonts w:ascii="Times New Roman" w:eastAsia="宋体" w:hAnsi="Times New Roman"/>
          <w:color w:val="auto"/>
          <w:sz w:val="24"/>
          <w:szCs w:val="24"/>
          <w:highlight w:val="none"/>
        </w:rPr>
      </w:pPr>
    </w:p>
    <w:p>
      <w:pPr>
        <w:spacing w:line="240" w:lineRule="auto"/>
        <w:ind w:left="0" w:firstLine="480"/>
        <w:jc w:val="center"/>
        <w:rPr>
          <w:rFonts w:ascii="Times New Roman" w:eastAsia="宋体" w:hAnsi="Times New Roman"/>
          <w:color w:val="auto"/>
          <w:sz w:val="24"/>
          <w:szCs w:val="24"/>
          <w:highlight w:val="none"/>
        </w:rPr>
      </w:pPr>
    </w:p>
    <w:p>
      <w:pPr>
        <w:spacing w:line="240" w:lineRule="auto"/>
        <w:ind w:left="0" w:firstLine="480"/>
        <w:jc w:val="center"/>
        <w:rPr>
          <w:rFonts w:ascii="Times New Roman" w:eastAsia="宋体" w:hAnsi="Times New Roman"/>
          <w:color w:val="auto"/>
          <w:sz w:val="24"/>
          <w:szCs w:val="24"/>
          <w:highlight w:val="none"/>
        </w:rPr>
      </w:pPr>
    </w:p>
    <w:p>
      <w:pPr>
        <w:spacing w:line="240" w:lineRule="auto"/>
        <w:ind w:left="0" w:firstLine="480"/>
        <w:jc w:val="center"/>
        <w:rPr>
          <w:rFonts w:ascii="Times New Roman" w:eastAsia="宋体" w:hAnsi="Times New Roman"/>
          <w:color w:val="auto"/>
          <w:sz w:val="24"/>
          <w:szCs w:val="24"/>
          <w:highlight w:val="none"/>
        </w:rPr>
      </w:pPr>
    </w:p>
    <w:p>
      <w:pPr>
        <w:spacing w:line="240" w:lineRule="auto"/>
        <w:ind w:left="0" w:firstLine="480"/>
        <w:jc w:val="center"/>
        <w:rPr>
          <w:rFonts w:ascii="Times New Roman" w:eastAsia="宋体" w:hAnsi="Times New Roman"/>
          <w:color w:val="auto"/>
          <w:sz w:val="24"/>
          <w:szCs w:val="24"/>
          <w:highlight w:val="none"/>
        </w:rPr>
      </w:pPr>
    </w:p>
    <w:p>
      <w:pPr>
        <w:spacing w:line="240" w:lineRule="auto"/>
        <w:ind w:left="0" w:firstLine="480"/>
        <w:jc w:val="center"/>
        <w:rPr>
          <w:rFonts w:ascii="Times New Roman" w:eastAsia="宋体" w:hAnsi="Times New Roman"/>
          <w:color w:val="auto"/>
          <w:sz w:val="24"/>
          <w:szCs w:val="24"/>
          <w:highlight w:val="none"/>
        </w:rPr>
      </w:pPr>
    </w:p>
    <w:p>
      <w:pPr>
        <w:spacing w:line="240" w:lineRule="auto"/>
        <w:ind w:left="0" w:firstLine="480"/>
        <w:jc w:val="center"/>
        <w:rPr>
          <w:rFonts w:ascii="Times New Roman" w:eastAsia="宋体" w:hAnsi="Times New Roman"/>
          <w:color w:val="auto"/>
          <w:sz w:val="24"/>
          <w:szCs w:val="24"/>
          <w:highlight w:val="none"/>
        </w:rPr>
      </w:pPr>
    </w:p>
    <w:p>
      <w:pPr>
        <w:spacing w:line="240" w:lineRule="auto"/>
        <w:ind w:left="0" w:firstLine="480"/>
        <w:jc w:val="center"/>
        <w:rPr>
          <w:rFonts w:ascii="Times New Roman" w:eastAsia="宋体" w:hAnsi="Times New Roman"/>
          <w:color w:val="auto"/>
          <w:sz w:val="24"/>
          <w:szCs w:val="24"/>
          <w:highlight w:val="none"/>
        </w:rPr>
      </w:pPr>
    </w:p>
    <w:p>
      <w:pPr>
        <w:spacing w:line="240" w:lineRule="auto"/>
        <w:ind w:left="0" w:firstLine="480"/>
        <w:jc w:val="center"/>
        <w:rPr>
          <w:rFonts w:ascii="Times New Roman" w:eastAsia="宋体" w:hAnsi="Times New Roman"/>
          <w:color w:val="auto"/>
          <w:sz w:val="24"/>
          <w:szCs w:val="24"/>
          <w:highlight w:val="none"/>
        </w:rPr>
      </w:pPr>
    </w:p>
    <w:p>
      <w:pPr>
        <w:spacing w:line="240" w:lineRule="auto"/>
        <w:ind w:left="0" w:firstLine="480"/>
        <w:jc w:val="center"/>
        <w:rPr>
          <w:rFonts w:ascii="Times New Roman" w:eastAsia="宋体" w:hAnsi="Times New Roman"/>
          <w:color w:val="auto"/>
          <w:sz w:val="24"/>
          <w:szCs w:val="24"/>
          <w:highlight w:val="none"/>
        </w:rPr>
      </w:pPr>
    </w:p>
    <w:p>
      <w:pPr>
        <w:spacing w:line="240" w:lineRule="auto"/>
        <w:ind w:left="0" w:firstLine="480"/>
        <w:jc w:val="center"/>
        <w:rPr>
          <w:rFonts w:ascii="Times New Roman" w:eastAsia="宋体" w:hAnsi="Times New Roman"/>
          <w:color w:val="auto"/>
          <w:sz w:val="24"/>
          <w:szCs w:val="24"/>
          <w:highlight w:val="none"/>
        </w:rPr>
      </w:pPr>
    </w:p>
    <w:p>
      <w:pPr>
        <w:spacing w:line="240" w:lineRule="auto"/>
        <w:ind w:left="0" w:firstLine="480"/>
        <w:jc w:val="center"/>
        <w:rPr>
          <w:rFonts w:ascii="Times New Roman" w:eastAsia="宋体" w:hAnsi="Times New Roman"/>
          <w:color w:val="auto"/>
          <w:sz w:val="24"/>
          <w:szCs w:val="24"/>
          <w:highlight w:val="none"/>
        </w:rPr>
      </w:pPr>
    </w:p>
    <w:p>
      <w:pPr>
        <w:spacing w:line="240" w:lineRule="auto"/>
        <w:ind w:left="0" w:firstLine="422"/>
        <w:jc w:val="center"/>
        <w:rPr>
          <w:rFonts w:ascii="Times New Roman" w:eastAsia="宋体" w:hAnsi="Times New Roman" w:hint="eastAsia"/>
          <w:b/>
          <w:bCs/>
          <w:color w:val="auto"/>
          <w:szCs w:val="21"/>
          <w:highlight w:val="none"/>
        </w:rPr>
      </w:pPr>
      <w:r>
        <w:rPr>
          <w:rFonts w:ascii="Times New Roman" w:eastAsia="宋体" w:hAnsi="Times New Roman" w:hint="eastAsia"/>
          <w:b/>
          <w:bCs/>
          <w:color w:val="auto"/>
          <w:szCs w:val="21"/>
          <w:highlight w:val="none"/>
        </w:rPr>
        <w:t>表6-2  电信企业5G室内分布基站需求表</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top w:w="0" w:type="dxa"/>
          <w:left w:w="108" w:type="dxa"/>
          <w:bottom w:w="0" w:type="dxa"/>
          <w:right w:w="108" w:type="dxa"/>
        </w:tblCellMar>
      </w:tblPr>
      <w:tblGrid>
        <w:gridCol w:w="607"/>
        <w:gridCol w:w="740"/>
        <w:gridCol w:w="741"/>
        <w:gridCol w:w="741"/>
        <w:gridCol w:w="741"/>
        <w:gridCol w:w="476"/>
        <w:gridCol w:w="741"/>
        <w:gridCol w:w="741"/>
        <w:gridCol w:w="741"/>
        <w:gridCol w:w="476"/>
        <w:gridCol w:w="476"/>
        <w:gridCol w:w="741"/>
        <w:gridCol w:w="476"/>
        <w:gridCol w:w="476"/>
        <w:gridCol w:w="741"/>
        <w:gridCol w:w="487"/>
      </w:tblGrid>
      <w:tr>
        <w:tblPrEx>
          <w:tblW w:w="5000" w:type="pct"/>
          <w:tblInd w:w="0"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top w:w="0" w:type="dxa"/>
            <w:left w:w="108" w:type="dxa"/>
            <w:bottom w:w="0" w:type="dxa"/>
            <w:right w:w="108" w:type="dxa"/>
          </w:tblCellMar>
        </w:tblPrEx>
        <w:trPr>
          <w:trHeight w:val="280"/>
        </w:trPr>
        <w:tc>
          <w:tcPr>
            <w:tcW w:w="301" w:type="pct"/>
            <w:shd w:val="clear" w:color="auto" w:fill="auto"/>
            <w:noWrap/>
          </w:tcPr>
          <w:p>
            <w:pPr>
              <w:widowControl/>
              <w:spacing w:line="240" w:lineRule="auto"/>
              <w:ind w:left="0" w:firstLine="0" w:firstLineChars="0"/>
              <w:jc w:val="center"/>
              <w:rPr>
                <w:rFonts w:ascii="宋体" w:eastAsia="宋体" w:hAnsi="宋体" w:cs="宋体"/>
                <w:color w:val="auto"/>
                <w:kern w:val="0"/>
                <w:sz w:val="22"/>
                <w:highlight w:val="none"/>
              </w:rPr>
            </w:pPr>
            <w:r>
              <w:rPr>
                <w:rFonts w:hint="eastAsia"/>
                <w:color w:val="auto"/>
                <w:highlight w:val="none"/>
              </w:rPr>
              <w:t>区县</w:t>
            </w:r>
          </w:p>
        </w:tc>
        <w:tc>
          <w:tcPr>
            <w:tcW w:w="326" w:type="pct"/>
            <w:shd w:val="clear" w:color="auto" w:fill="auto"/>
            <w:noWrap/>
          </w:tcPr>
          <w:p>
            <w:pPr>
              <w:widowControl/>
              <w:spacing w:line="240" w:lineRule="auto"/>
              <w:ind w:left="0" w:firstLine="0" w:firstLineChars="0"/>
              <w:jc w:val="center"/>
              <w:rPr>
                <w:rFonts w:ascii="宋体" w:eastAsia="宋体" w:hAnsi="宋体" w:cs="宋体"/>
                <w:color w:val="auto"/>
                <w:kern w:val="0"/>
                <w:sz w:val="22"/>
                <w:highlight w:val="none"/>
              </w:rPr>
            </w:pPr>
            <w:r>
              <w:rPr>
                <w:rFonts w:hint="eastAsia"/>
                <w:color w:val="auto"/>
                <w:highlight w:val="none"/>
              </w:rPr>
              <w:t>宾馆酒店</w:t>
            </w:r>
          </w:p>
        </w:tc>
        <w:tc>
          <w:tcPr>
            <w:tcW w:w="404" w:type="pct"/>
            <w:shd w:val="clear" w:color="auto" w:fill="auto"/>
            <w:noWrap/>
          </w:tcPr>
          <w:p>
            <w:pPr>
              <w:widowControl/>
              <w:spacing w:line="240" w:lineRule="auto"/>
              <w:ind w:left="0" w:firstLine="0" w:firstLineChars="0"/>
              <w:jc w:val="center"/>
              <w:rPr>
                <w:rFonts w:ascii="宋体" w:eastAsia="宋体" w:hAnsi="宋体" w:cs="宋体"/>
                <w:color w:val="auto"/>
                <w:kern w:val="0"/>
                <w:sz w:val="22"/>
                <w:highlight w:val="none"/>
              </w:rPr>
            </w:pPr>
            <w:r>
              <w:rPr>
                <w:rFonts w:hint="eastAsia"/>
                <w:color w:val="auto"/>
                <w:highlight w:val="none"/>
              </w:rPr>
              <w:t>大型场馆</w:t>
            </w:r>
          </w:p>
        </w:tc>
        <w:tc>
          <w:tcPr>
            <w:tcW w:w="365" w:type="pct"/>
            <w:shd w:val="clear" w:color="auto" w:fill="auto"/>
            <w:noWrap/>
          </w:tcPr>
          <w:p>
            <w:pPr>
              <w:widowControl/>
              <w:spacing w:line="240" w:lineRule="auto"/>
              <w:ind w:left="0" w:firstLine="0" w:firstLineChars="0"/>
              <w:jc w:val="center"/>
              <w:rPr>
                <w:rFonts w:ascii="宋体" w:eastAsia="宋体" w:hAnsi="宋体" w:cs="宋体"/>
                <w:color w:val="auto"/>
                <w:kern w:val="0"/>
                <w:sz w:val="22"/>
                <w:highlight w:val="none"/>
              </w:rPr>
            </w:pPr>
            <w:r>
              <w:rPr>
                <w:rFonts w:hint="eastAsia"/>
                <w:color w:val="auto"/>
                <w:highlight w:val="none"/>
              </w:rPr>
              <w:t>党政机关</w:t>
            </w:r>
          </w:p>
        </w:tc>
        <w:tc>
          <w:tcPr>
            <w:tcW w:w="365" w:type="pct"/>
            <w:shd w:val="clear" w:color="auto" w:fill="auto"/>
            <w:noWrap/>
          </w:tcPr>
          <w:p>
            <w:pPr>
              <w:widowControl/>
              <w:spacing w:line="240" w:lineRule="auto"/>
              <w:ind w:left="0" w:firstLine="0" w:firstLineChars="0"/>
              <w:jc w:val="center"/>
              <w:rPr>
                <w:rFonts w:ascii="宋体" w:eastAsia="宋体" w:hAnsi="宋体" w:cs="宋体"/>
                <w:color w:val="auto"/>
                <w:kern w:val="0"/>
                <w:sz w:val="22"/>
                <w:highlight w:val="none"/>
              </w:rPr>
            </w:pPr>
            <w:r>
              <w:rPr>
                <w:rFonts w:hint="eastAsia"/>
                <w:color w:val="auto"/>
                <w:highlight w:val="none"/>
              </w:rPr>
              <w:t>公共场所</w:t>
            </w:r>
          </w:p>
        </w:tc>
        <w:tc>
          <w:tcPr>
            <w:tcW w:w="236" w:type="pct"/>
            <w:shd w:val="clear" w:color="auto" w:fill="auto"/>
            <w:noWrap/>
          </w:tcPr>
          <w:p>
            <w:pPr>
              <w:widowControl/>
              <w:spacing w:line="240" w:lineRule="auto"/>
              <w:ind w:left="0" w:firstLine="0" w:firstLineChars="0"/>
              <w:jc w:val="center"/>
              <w:rPr>
                <w:rFonts w:ascii="宋体" w:eastAsia="宋体" w:hAnsi="宋体" w:cs="宋体"/>
                <w:color w:val="auto"/>
                <w:kern w:val="0"/>
                <w:sz w:val="22"/>
                <w:highlight w:val="none"/>
              </w:rPr>
            </w:pPr>
            <w:r>
              <w:rPr>
                <w:rFonts w:hint="eastAsia"/>
                <w:color w:val="auto"/>
                <w:highlight w:val="none"/>
              </w:rPr>
              <w:t>机场</w:t>
            </w:r>
          </w:p>
        </w:tc>
        <w:tc>
          <w:tcPr>
            <w:tcW w:w="365" w:type="pct"/>
            <w:shd w:val="clear" w:color="auto" w:fill="auto"/>
            <w:noWrap/>
          </w:tcPr>
          <w:p>
            <w:pPr>
              <w:widowControl/>
              <w:spacing w:line="240" w:lineRule="auto"/>
              <w:ind w:left="0" w:firstLine="0" w:firstLineChars="0"/>
              <w:jc w:val="center"/>
              <w:rPr>
                <w:rFonts w:ascii="宋体" w:eastAsia="宋体" w:hAnsi="宋体" w:cs="宋体"/>
                <w:color w:val="auto"/>
                <w:kern w:val="0"/>
                <w:sz w:val="22"/>
                <w:highlight w:val="none"/>
              </w:rPr>
            </w:pPr>
            <w:r>
              <w:rPr>
                <w:rFonts w:hint="eastAsia"/>
                <w:color w:val="auto"/>
                <w:highlight w:val="none"/>
              </w:rPr>
              <w:t>交通枢纽</w:t>
            </w:r>
          </w:p>
        </w:tc>
        <w:tc>
          <w:tcPr>
            <w:tcW w:w="365" w:type="pct"/>
            <w:shd w:val="clear" w:color="auto" w:fill="auto"/>
            <w:noWrap/>
          </w:tcPr>
          <w:p>
            <w:pPr>
              <w:widowControl/>
              <w:spacing w:line="240" w:lineRule="auto"/>
              <w:ind w:left="0" w:firstLine="0" w:firstLineChars="0"/>
              <w:jc w:val="center"/>
              <w:rPr>
                <w:rFonts w:ascii="宋体" w:eastAsia="宋体" w:hAnsi="宋体" w:cs="宋体"/>
                <w:color w:val="auto"/>
                <w:kern w:val="0"/>
                <w:sz w:val="22"/>
                <w:highlight w:val="none"/>
              </w:rPr>
            </w:pPr>
            <w:r>
              <w:rPr>
                <w:rFonts w:hint="eastAsia"/>
                <w:color w:val="auto"/>
                <w:highlight w:val="none"/>
              </w:rPr>
              <w:t>商场超市</w:t>
            </w:r>
          </w:p>
        </w:tc>
        <w:tc>
          <w:tcPr>
            <w:tcW w:w="365" w:type="pct"/>
            <w:shd w:val="clear" w:color="auto" w:fill="auto"/>
            <w:noWrap/>
          </w:tcPr>
          <w:p>
            <w:pPr>
              <w:widowControl/>
              <w:spacing w:line="240" w:lineRule="auto"/>
              <w:ind w:left="0" w:firstLine="0" w:firstLineChars="0"/>
              <w:jc w:val="center"/>
              <w:rPr>
                <w:rFonts w:ascii="宋体" w:eastAsia="宋体" w:hAnsi="宋体" w:cs="宋体"/>
                <w:color w:val="auto"/>
                <w:kern w:val="0"/>
                <w:sz w:val="22"/>
                <w:highlight w:val="none"/>
              </w:rPr>
            </w:pPr>
            <w:r>
              <w:rPr>
                <w:rFonts w:hint="eastAsia"/>
                <w:color w:val="auto"/>
                <w:highlight w:val="none"/>
              </w:rPr>
              <w:t>商务楼宇</w:t>
            </w:r>
          </w:p>
        </w:tc>
        <w:tc>
          <w:tcPr>
            <w:tcW w:w="236" w:type="pct"/>
            <w:shd w:val="clear" w:color="auto" w:fill="auto"/>
            <w:noWrap/>
          </w:tcPr>
          <w:p>
            <w:pPr>
              <w:widowControl/>
              <w:spacing w:line="240" w:lineRule="auto"/>
              <w:ind w:left="0" w:firstLine="0" w:firstLineChars="0"/>
              <w:jc w:val="center"/>
              <w:rPr>
                <w:rFonts w:ascii="宋体" w:eastAsia="宋体" w:hAnsi="宋体" w:cs="宋体"/>
                <w:color w:val="auto"/>
                <w:kern w:val="0"/>
                <w:sz w:val="22"/>
                <w:highlight w:val="none"/>
              </w:rPr>
            </w:pPr>
            <w:r>
              <w:rPr>
                <w:rFonts w:hint="eastAsia"/>
                <w:color w:val="auto"/>
                <w:highlight w:val="none"/>
              </w:rPr>
              <w:t>隧道</w:t>
            </w:r>
          </w:p>
        </w:tc>
        <w:tc>
          <w:tcPr>
            <w:tcW w:w="236" w:type="pct"/>
            <w:shd w:val="clear" w:color="auto" w:fill="auto"/>
            <w:noWrap/>
          </w:tcPr>
          <w:p>
            <w:pPr>
              <w:widowControl/>
              <w:spacing w:line="240" w:lineRule="auto"/>
              <w:ind w:left="0" w:firstLine="0" w:firstLineChars="0"/>
              <w:jc w:val="center"/>
              <w:rPr>
                <w:rFonts w:ascii="宋体" w:eastAsia="宋体" w:hAnsi="宋体" w:cs="宋体"/>
                <w:color w:val="auto"/>
                <w:kern w:val="0"/>
                <w:sz w:val="22"/>
                <w:highlight w:val="none"/>
              </w:rPr>
            </w:pPr>
            <w:r>
              <w:rPr>
                <w:rFonts w:hint="eastAsia"/>
                <w:color w:val="auto"/>
                <w:highlight w:val="none"/>
              </w:rPr>
              <w:t>校园</w:t>
            </w:r>
          </w:p>
        </w:tc>
        <w:tc>
          <w:tcPr>
            <w:tcW w:w="365" w:type="pct"/>
            <w:shd w:val="clear" w:color="auto" w:fill="auto"/>
            <w:noWrap/>
          </w:tcPr>
          <w:p>
            <w:pPr>
              <w:widowControl/>
              <w:spacing w:line="240" w:lineRule="auto"/>
              <w:ind w:left="0" w:firstLine="0" w:firstLineChars="0"/>
              <w:jc w:val="center"/>
              <w:rPr>
                <w:rFonts w:ascii="宋体" w:eastAsia="宋体" w:hAnsi="宋体" w:cs="宋体"/>
                <w:color w:val="auto"/>
                <w:kern w:val="0"/>
                <w:sz w:val="22"/>
                <w:highlight w:val="none"/>
              </w:rPr>
            </w:pPr>
            <w:r>
              <w:rPr>
                <w:rFonts w:hint="eastAsia"/>
                <w:color w:val="auto"/>
                <w:highlight w:val="none"/>
              </w:rPr>
              <w:t>休闲场所</w:t>
            </w:r>
          </w:p>
        </w:tc>
        <w:tc>
          <w:tcPr>
            <w:tcW w:w="236" w:type="pct"/>
            <w:shd w:val="clear" w:color="auto" w:fill="auto"/>
            <w:noWrap/>
          </w:tcPr>
          <w:p>
            <w:pPr>
              <w:widowControl/>
              <w:spacing w:line="240" w:lineRule="auto"/>
              <w:ind w:left="0" w:firstLine="0" w:firstLineChars="0"/>
              <w:jc w:val="center"/>
              <w:rPr>
                <w:rFonts w:ascii="宋体" w:eastAsia="宋体" w:hAnsi="宋体" w:cs="宋体"/>
                <w:color w:val="auto"/>
                <w:kern w:val="0"/>
                <w:sz w:val="22"/>
                <w:highlight w:val="none"/>
              </w:rPr>
            </w:pPr>
            <w:r>
              <w:rPr>
                <w:rFonts w:hint="eastAsia"/>
                <w:color w:val="auto"/>
                <w:highlight w:val="none"/>
              </w:rPr>
              <w:t>医院</w:t>
            </w:r>
          </w:p>
        </w:tc>
        <w:tc>
          <w:tcPr>
            <w:tcW w:w="236" w:type="pct"/>
            <w:shd w:val="clear" w:color="auto" w:fill="auto"/>
            <w:noWrap/>
          </w:tcPr>
          <w:p>
            <w:pPr>
              <w:widowControl/>
              <w:spacing w:line="240" w:lineRule="auto"/>
              <w:ind w:left="0" w:firstLine="0" w:firstLineChars="0"/>
              <w:jc w:val="center"/>
              <w:rPr>
                <w:rFonts w:ascii="宋体" w:eastAsia="宋体" w:hAnsi="宋体" w:cs="宋体"/>
                <w:color w:val="auto"/>
                <w:kern w:val="0"/>
                <w:sz w:val="22"/>
                <w:highlight w:val="none"/>
              </w:rPr>
            </w:pPr>
            <w:r>
              <w:rPr>
                <w:rFonts w:hint="eastAsia"/>
                <w:color w:val="auto"/>
                <w:highlight w:val="none"/>
              </w:rPr>
              <w:t>园区</w:t>
            </w:r>
          </w:p>
        </w:tc>
        <w:tc>
          <w:tcPr>
            <w:tcW w:w="365" w:type="pct"/>
            <w:shd w:val="clear" w:color="auto" w:fill="auto"/>
            <w:noWrap/>
          </w:tcPr>
          <w:p>
            <w:pPr>
              <w:widowControl/>
              <w:spacing w:line="240" w:lineRule="auto"/>
              <w:ind w:left="0" w:firstLine="0" w:firstLineChars="0"/>
              <w:jc w:val="center"/>
              <w:rPr>
                <w:rFonts w:ascii="宋体" w:eastAsia="宋体" w:hAnsi="宋体" w:cs="宋体"/>
                <w:color w:val="auto"/>
                <w:kern w:val="0"/>
                <w:sz w:val="22"/>
                <w:highlight w:val="none"/>
              </w:rPr>
            </w:pPr>
            <w:r>
              <w:rPr>
                <w:rFonts w:hint="eastAsia"/>
                <w:color w:val="auto"/>
                <w:highlight w:val="none"/>
              </w:rPr>
              <w:t>住宅小区</w:t>
            </w:r>
          </w:p>
        </w:tc>
        <w:tc>
          <w:tcPr>
            <w:tcW w:w="238" w:type="pct"/>
            <w:shd w:val="clear" w:color="auto" w:fill="auto"/>
            <w:noWrap/>
          </w:tcPr>
          <w:p>
            <w:pPr>
              <w:widowControl/>
              <w:spacing w:line="240" w:lineRule="auto"/>
              <w:ind w:left="0" w:firstLine="0" w:firstLineChars="0"/>
              <w:jc w:val="center"/>
              <w:rPr>
                <w:rFonts w:ascii="宋体" w:eastAsia="宋体" w:hAnsi="宋体" w:cs="宋体"/>
                <w:color w:val="auto"/>
                <w:kern w:val="0"/>
                <w:sz w:val="22"/>
                <w:highlight w:val="none"/>
              </w:rPr>
            </w:pPr>
            <w:r>
              <w:rPr>
                <w:rFonts w:hint="eastAsia"/>
                <w:color w:val="auto"/>
                <w:highlight w:val="none"/>
              </w:rPr>
              <w:t>总计</w:t>
            </w:r>
          </w:p>
        </w:tc>
      </w:tr>
      <w:tr>
        <w:tblPrEx>
          <w:tblW w:w="5000" w:type="pct"/>
          <w:tblInd w:w="0" w:type="dxa"/>
          <w:tblCellMar>
            <w:top w:w="0" w:type="dxa"/>
            <w:left w:w="108" w:type="dxa"/>
            <w:bottom w:w="0" w:type="dxa"/>
            <w:right w:w="108" w:type="dxa"/>
          </w:tblCellMar>
        </w:tblPrEx>
        <w:trPr>
          <w:trHeight w:val="290"/>
        </w:trPr>
        <w:tc>
          <w:tcPr>
            <w:tcW w:w="301" w:type="pct"/>
            <w:shd w:val="clear" w:color="auto" w:fill="auto"/>
            <w:noWrap/>
          </w:tcPr>
          <w:p>
            <w:pPr>
              <w:widowControl/>
              <w:spacing w:line="240" w:lineRule="auto"/>
              <w:ind w:left="0" w:firstLine="0" w:firstLineChars="0"/>
              <w:jc w:val="center"/>
              <w:rPr>
                <w:rFonts w:ascii="宋体" w:eastAsia="宋体" w:hAnsi="宋体" w:cs="宋体"/>
                <w:color w:val="auto"/>
                <w:kern w:val="0"/>
                <w:sz w:val="22"/>
                <w:highlight w:val="none"/>
              </w:rPr>
            </w:pPr>
            <w:r>
              <w:rPr>
                <w:rFonts w:hint="eastAsia"/>
                <w:color w:val="auto"/>
                <w:highlight w:val="none"/>
              </w:rPr>
              <w:t>北流市</w:t>
            </w:r>
          </w:p>
        </w:tc>
        <w:tc>
          <w:tcPr>
            <w:tcW w:w="326"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36</w:t>
            </w:r>
          </w:p>
        </w:tc>
        <w:tc>
          <w:tcPr>
            <w:tcW w:w="404"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2</w:t>
            </w: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7</w:t>
            </w: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23</w:t>
            </w:r>
          </w:p>
        </w:tc>
        <w:tc>
          <w:tcPr>
            <w:tcW w:w="236"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10</w:t>
            </w: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22</w:t>
            </w: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23</w:t>
            </w:r>
          </w:p>
        </w:tc>
        <w:tc>
          <w:tcPr>
            <w:tcW w:w="236"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2</w:t>
            </w:r>
          </w:p>
        </w:tc>
        <w:tc>
          <w:tcPr>
            <w:tcW w:w="236"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7</w:t>
            </w: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20</w:t>
            </w:r>
          </w:p>
        </w:tc>
        <w:tc>
          <w:tcPr>
            <w:tcW w:w="236"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16</w:t>
            </w:r>
          </w:p>
        </w:tc>
        <w:tc>
          <w:tcPr>
            <w:tcW w:w="236"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40</w:t>
            </w: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438</w:t>
            </w:r>
          </w:p>
        </w:tc>
        <w:tc>
          <w:tcPr>
            <w:tcW w:w="238"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646</w:t>
            </w:r>
          </w:p>
        </w:tc>
      </w:tr>
      <w:tr>
        <w:tblPrEx>
          <w:tblW w:w="5000" w:type="pct"/>
          <w:tblInd w:w="0" w:type="dxa"/>
          <w:tblCellMar>
            <w:top w:w="0" w:type="dxa"/>
            <w:left w:w="108" w:type="dxa"/>
            <w:bottom w:w="0" w:type="dxa"/>
            <w:right w:w="108" w:type="dxa"/>
          </w:tblCellMar>
        </w:tblPrEx>
        <w:trPr>
          <w:trHeight w:val="290"/>
        </w:trPr>
        <w:tc>
          <w:tcPr>
            <w:tcW w:w="301" w:type="pct"/>
            <w:shd w:val="clear" w:color="auto" w:fill="auto"/>
            <w:noWrap/>
          </w:tcPr>
          <w:p>
            <w:pPr>
              <w:widowControl/>
              <w:spacing w:line="240" w:lineRule="auto"/>
              <w:ind w:left="0" w:firstLine="0" w:firstLineChars="0"/>
              <w:jc w:val="center"/>
              <w:rPr>
                <w:rFonts w:ascii="宋体" w:eastAsia="宋体" w:hAnsi="宋体" w:cs="宋体"/>
                <w:color w:val="auto"/>
                <w:kern w:val="0"/>
                <w:sz w:val="22"/>
                <w:highlight w:val="none"/>
              </w:rPr>
            </w:pPr>
            <w:r>
              <w:rPr>
                <w:rFonts w:hint="eastAsia"/>
                <w:color w:val="auto"/>
                <w:highlight w:val="none"/>
              </w:rPr>
              <w:t>博白县</w:t>
            </w:r>
          </w:p>
        </w:tc>
        <w:tc>
          <w:tcPr>
            <w:tcW w:w="326"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19</w:t>
            </w:r>
          </w:p>
        </w:tc>
        <w:tc>
          <w:tcPr>
            <w:tcW w:w="404"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2</w:t>
            </w: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15</w:t>
            </w: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15</w:t>
            </w:r>
          </w:p>
        </w:tc>
        <w:tc>
          <w:tcPr>
            <w:tcW w:w="236"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2</w:t>
            </w: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17</w:t>
            </w: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28</w:t>
            </w:r>
          </w:p>
        </w:tc>
        <w:tc>
          <w:tcPr>
            <w:tcW w:w="236"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6</w:t>
            </w:r>
          </w:p>
        </w:tc>
        <w:tc>
          <w:tcPr>
            <w:tcW w:w="236"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6</w:t>
            </w: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15</w:t>
            </w:r>
          </w:p>
        </w:tc>
        <w:tc>
          <w:tcPr>
            <w:tcW w:w="236"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14</w:t>
            </w:r>
          </w:p>
        </w:tc>
        <w:tc>
          <w:tcPr>
            <w:tcW w:w="236"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126</w:t>
            </w: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191</w:t>
            </w:r>
          </w:p>
        </w:tc>
        <w:tc>
          <w:tcPr>
            <w:tcW w:w="238"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456</w:t>
            </w:r>
          </w:p>
        </w:tc>
      </w:tr>
      <w:tr>
        <w:tblPrEx>
          <w:tblW w:w="5000" w:type="pct"/>
          <w:tblInd w:w="0" w:type="dxa"/>
          <w:tblCellMar>
            <w:top w:w="0" w:type="dxa"/>
            <w:left w:w="108" w:type="dxa"/>
            <w:bottom w:w="0" w:type="dxa"/>
            <w:right w:w="108" w:type="dxa"/>
          </w:tblCellMar>
        </w:tblPrEx>
        <w:trPr>
          <w:trHeight w:val="290"/>
        </w:trPr>
        <w:tc>
          <w:tcPr>
            <w:tcW w:w="301" w:type="pct"/>
            <w:shd w:val="clear" w:color="auto" w:fill="auto"/>
            <w:noWrap/>
          </w:tcPr>
          <w:p>
            <w:pPr>
              <w:widowControl/>
              <w:spacing w:line="240" w:lineRule="auto"/>
              <w:ind w:left="0" w:firstLine="0" w:firstLineChars="0"/>
              <w:jc w:val="center"/>
              <w:rPr>
                <w:rFonts w:ascii="宋体" w:eastAsia="宋体" w:hAnsi="宋体" w:cs="宋体"/>
                <w:color w:val="auto"/>
                <w:kern w:val="0"/>
                <w:sz w:val="22"/>
                <w:highlight w:val="none"/>
              </w:rPr>
            </w:pPr>
            <w:r>
              <w:rPr>
                <w:rFonts w:hint="eastAsia"/>
                <w:color w:val="auto"/>
                <w:highlight w:val="none"/>
              </w:rPr>
              <w:t>福绵区</w:t>
            </w:r>
          </w:p>
        </w:tc>
        <w:tc>
          <w:tcPr>
            <w:tcW w:w="326" w:type="pct"/>
            <w:shd w:val="clear" w:color="auto" w:fill="auto"/>
            <w:noWrap/>
          </w:tcPr>
          <w:p>
            <w:pPr>
              <w:widowControl/>
              <w:spacing w:line="240" w:lineRule="auto"/>
              <w:ind w:left="0" w:firstLine="0" w:firstLineChars="0"/>
              <w:jc w:val="center"/>
              <w:rPr>
                <w:rFonts w:ascii="宋体" w:eastAsia="宋体" w:hAnsi="宋体" w:cs="宋体"/>
                <w:color w:val="auto"/>
                <w:kern w:val="0"/>
                <w:sz w:val="22"/>
                <w:highlight w:val="none"/>
              </w:rPr>
            </w:pPr>
            <w:r>
              <w:rPr>
                <w:rFonts w:hint="eastAsia"/>
                <w:color w:val="auto"/>
                <w:highlight w:val="none"/>
              </w:rPr>
              <w:t>3</w:t>
            </w:r>
          </w:p>
        </w:tc>
        <w:tc>
          <w:tcPr>
            <w:tcW w:w="404"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1</w:t>
            </w: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10</w:t>
            </w: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8</w:t>
            </w:r>
          </w:p>
        </w:tc>
        <w:tc>
          <w:tcPr>
            <w:tcW w:w="236"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3</w:t>
            </w: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1</w:t>
            </w: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1</w:t>
            </w: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4</w:t>
            </w:r>
          </w:p>
        </w:tc>
        <w:tc>
          <w:tcPr>
            <w:tcW w:w="236"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p>
        </w:tc>
        <w:tc>
          <w:tcPr>
            <w:tcW w:w="236"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2</w:t>
            </w: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3</w:t>
            </w:r>
          </w:p>
        </w:tc>
        <w:tc>
          <w:tcPr>
            <w:tcW w:w="236"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7</w:t>
            </w:r>
          </w:p>
        </w:tc>
        <w:tc>
          <w:tcPr>
            <w:tcW w:w="236"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32</w:t>
            </w: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21</w:t>
            </w:r>
          </w:p>
        </w:tc>
        <w:tc>
          <w:tcPr>
            <w:tcW w:w="238"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96</w:t>
            </w:r>
          </w:p>
        </w:tc>
      </w:tr>
      <w:tr>
        <w:tblPrEx>
          <w:tblW w:w="5000" w:type="pct"/>
          <w:tblInd w:w="0" w:type="dxa"/>
          <w:tblCellMar>
            <w:top w:w="0" w:type="dxa"/>
            <w:left w:w="108" w:type="dxa"/>
            <w:bottom w:w="0" w:type="dxa"/>
            <w:right w:w="108" w:type="dxa"/>
          </w:tblCellMar>
        </w:tblPrEx>
        <w:trPr>
          <w:trHeight w:val="290"/>
        </w:trPr>
        <w:tc>
          <w:tcPr>
            <w:tcW w:w="301" w:type="pct"/>
            <w:shd w:val="clear" w:color="auto" w:fill="auto"/>
            <w:noWrap/>
          </w:tcPr>
          <w:p>
            <w:pPr>
              <w:widowControl/>
              <w:spacing w:line="240" w:lineRule="auto"/>
              <w:ind w:left="0" w:firstLine="0" w:firstLineChars="0"/>
              <w:jc w:val="center"/>
              <w:rPr>
                <w:rFonts w:ascii="宋体" w:eastAsia="宋体" w:hAnsi="宋体" w:cs="宋体"/>
                <w:color w:val="auto"/>
                <w:kern w:val="0"/>
                <w:sz w:val="22"/>
                <w:highlight w:val="none"/>
              </w:rPr>
            </w:pPr>
            <w:r>
              <w:rPr>
                <w:rFonts w:hint="eastAsia"/>
                <w:color w:val="auto"/>
                <w:highlight w:val="none"/>
              </w:rPr>
              <w:t>陆川县</w:t>
            </w:r>
          </w:p>
        </w:tc>
        <w:tc>
          <w:tcPr>
            <w:tcW w:w="326"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7</w:t>
            </w:r>
          </w:p>
        </w:tc>
        <w:tc>
          <w:tcPr>
            <w:tcW w:w="404"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ascii="Calibri" w:eastAsia="宋体" w:hAnsi="Calibri" w:cs="Calibri" w:hint="eastAsia"/>
                <w:color w:val="auto"/>
                <w:kern w:val="0"/>
                <w:sz w:val="22"/>
                <w:highlight w:val="none"/>
              </w:rPr>
              <w:t>1</w:t>
            </w: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5</w:t>
            </w: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7</w:t>
            </w:r>
          </w:p>
        </w:tc>
        <w:tc>
          <w:tcPr>
            <w:tcW w:w="236"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p>
        </w:tc>
        <w:tc>
          <w:tcPr>
            <w:tcW w:w="365" w:type="pct"/>
            <w:shd w:val="clear" w:color="auto" w:fill="auto"/>
            <w:noWrap/>
          </w:tcPr>
          <w:p>
            <w:pPr>
              <w:widowControl/>
              <w:spacing w:line="240" w:lineRule="auto"/>
              <w:ind w:left="0" w:firstLine="0" w:firstLineChars="0"/>
              <w:jc w:val="center"/>
              <w:rPr>
                <w:rFonts w:ascii="Times New Roman" w:eastAsia="Times New Roman" w:hAnsi="Times New Roman" w:cs="Times New Roman"/>
                <w:color w:val="auto"/>
                <w:kern w:val="0"/>
                <w:sz w:val="20"/>
                <w:szCs w:val="20"/>
                <w:highlight w:val="none"/>
              </w:rPr>
            </w:pPr>
            <w:r>
              <w:rPr>
                <w:rFonts w:hint="eastAsia"/>
                <w:color w:val="auto"/>
                <w:highlight w:val="none"/>
              </w:rPr>
              <w:t>2</w:t>
            </w: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3</w:t>
            </w: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17</w:t>
            </w:r>
          </w:p>
        </w:tc>
        <w:tc>
          <w:tcPr>
            <w:tcW w:w="236"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4</w:t>
            </w:r>
          </w:p>
        </w:tc>
        <w:tc>
          <w:tcPr>
            <w:tcW w:w="236" w:type="pct"/>
            <w:shd w:val="clear" w:color="auto" w:fill="auto"/>
            <w:noWrap/>
          </w:tcPr>
          <w:p>
            <w:pPr>
              <w:widowControl/>
              <w:spacing w:line="240" w:lineRule="auto"/>
              <w:ind w:left="0" w:firstLine="0" w:firstLineChars="0"/>
              <w:jc w:val="center"/>
              <w:rPr>
                <w:rFonts w:ascii="Times New Roman" w:eastAsia="Times New Roman" w:hAnsi="Times New Roman" w:cs="Times New Roman"/>
                <w:color w:val="auto"/>
                <w:kern w:val="0"/>
                <w:sz w:val="20"/>
                <w:szCs w:val="20"/>
                <w:highlight w:val="none"/>
              </w:rPr>
            </w:pPr>
            <w:r>
              <w:rPr>
                <w:rFonts w:hint="eastAsia"/>
                <w:color w:val="auto"/>
                <w:highlight w:val="none"/>
              </w:rPr>
              <w:t>2</w:t>
            </w: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7</w:t>
            </w:r>
          </w:p>
        </w:tc>
        <w:tc>
          <w:tcPr>
            <w:tcW w:w="236"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9</w:t>
            </w:r>
          </w:p>
        </w:tc>
        <w:tc>
          <w:tcPr>
            <w:tcW w:w="236"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27</w:t>
            </w: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156</w:t>
            </w:r>
          </w:p>
        </w:tc>
        <w:tc>
          <w:tcPr>
            <w:tcW w:w="238" w:type="pct"/>
            <w:shd w:val="clear" w:color="auto" w:fill="auto"/>
            <w:noWrap/>
          </w:tcPr>
          <w:p>
            <w:pPr>
              <w:widowControl/>
              <w:spacing w:line="240" w:lineRule="auto"/>
              <w:ind w:left="0" w:firstLine="0" w:firstLineChars="0"/>
              <w:jc w:val="center"/>
              <w:rPr>
                <w:rFonts w:ascii="Calibri" w:hAnsi="Calibri" w:cs="Calibri"/>
                <w:color w:val="auto"/>
                <w:kern w:val="0"/>
                <w:sz w:val="22"/>
                <w:highlight w:val="none"/>
              </w:rPr>
            </w:pPr>
            <w:r>
              <w:rPr>
                <w:rFonts w:hint="eastAsia"/>
                <w:color w:val="auto"/>
                <w:highlight w:val="none"/>
              </w:rPr>
              <w:t>247</w:t>
            </w:r>
          </w:p>
        </w:tc>
      </w:tr>
      <w:tr>
        <w:tblPrEx>
          <w:tblW w:w="5000" w:type="pct"/>
          <w:tblInd w:w="0" w:type="dxa"/>
          <w:tblCellMar>
            <w:top w:w="0" w:type="dxa"/>
            <w:left w:w="108" w:type="dxa"/>
            <w:bottom w:w="0" w:type="dxa"/>
            <w:right w:w="108" w:type="dxa"/>
          </w:tblCellMar>
        </w:tblPrEx>
        <w:trPr>
          <w:trHeight w:val="290"/>
        </w:trPr>
        <w:tc>
          <w:tcPr>
            <w:tcW w:w="301" w:type="pct"/>
            <w:shd w:val="clear" w:color="auto" w:fill="auto"/>
            <w:noWrap/>
          </w:tcPr>
          <w:p>
            <w:pPr>
              <w:widowControl/>
              <w:spacing w:line="240" w:lineRule="auto"/>
              <w:ind w:left="0" w:firstLine="0" w:firstLineChars="0"/>
              <w:jc w:val="center"/>
              <w:rPr>
                <w:rFonts w:ascii="宋体" w:eastAsia="宋体" w:hAnsi="宋体" w:cs="宋体"/>
                <w:color w:val="auto"/>
                <w:kern w:val="0"/>
                <w:sz w:val="22"/>
                <w:highlight w:val="none"/>
              </w:rPr>
            </w:pPr>
            <w:r>
              <w:rPr>
                <w:rFonts w:hint="eastAsia"/>
                <w:color w:val="auto"/>
                <w:highlight w:val="none"/>
              </w:rPr>
              <w:t>容县</w:t>
            </w:r>
          </w:p>
        </w:tc>
        <w:tc>
          <w:tcPr>
            <w:tcW w:w="326"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13</w:t>
            </w:r>
          </w:p>
        </w:tc>
        <w:tc>
          <w:tcPr>
            <w:tcW w:w="404"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4</w:t>
            </w: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19</w:t>
            </w: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20</w:t>
            </w:r>
          </w:p>
        </w:tc>
        <w:tc>
          <w:tcPr>
            <w:tcW w:w="236"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2</w:t>
            </w: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10</w:t>
            </w: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49</w:t>
            </w:r>
          </w:p>
        </w:tc>
        <w:tc>
          <w:tcPr>
            <w:tcW w:w="236"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6</w:t>
            </w:r>
          </w:p>
        </w:tc>
        <w:tc>
          <w:tcPr>
            <w:tcW w:w="236"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3</w:t>
            </w: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4</w:t>
            </w:r>
          </w:p>
        </w:tc>
        <w:tc>
          <w:tcPr>
            <w:tcW w:w="236"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11</w:t>
            </w:r>
          </w:p>
        </w:tc>
        <w:tc>
          <w:tcPr>
            <w:tcW w:w="236"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26</w:t>
            </w: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123</w:t>
            </w:r>
          </w:p>
        </w:tc>
        <w:tc>
          <w:tcPr>
            <w:tcW w:w="238"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290</w:t>
            </w:r>
          </w:p>
        </w:tc>
      </w:tr>
      <w:tr>
        <w:tblPrEx>
          <w:tblW w:w="5000" w:type="pct"/>
          <w:tblInd w:w="0" w:type="dxa"/>
          <w:tblCellMar>
            <w:top w:w="0" w:type="dxa"/>
            <w:left w:w="108" w:type="dxa"/>
            <w:bottom w:w="0" w:type="dxa"/>
            <w:right w:w="108" w:type="dxa"/>
          </w:tblCellMar>
        </w:tblPrEx>
        <w:trPr>
          <w:trHeight w:val="290"/>
        </w:trPr>
        <w:tc>
          <w:tcPr>
            <w:tcW w:w="301" w:type="pct"/>
            <w:shd w:val="clear" w:color="auto" w:fill="auto"/>
            <w:noWrap/>
          </w:tcPr>
          <w:p>
            <w:pPr>
              <w:widowControl/>
              <w:spacing w:line="240" w:lineRule="auto"/>
              <w:ind w:left="0" w:firstLine="0" w:firstLineChars="0"/>
              <w:jc w:val="center"/>
              <w:rPr>
                <w:rFonts w:ascii="宋体" w:eastAsia="宋体" w:hAnsi="宋体" w:cs="宋体"/>
                <w:color w:val="auto"/>
                <w:kern w:val="0"/>
                <w:sz w:val="22"/>
                <w:highlight w:val="none"/>
              </w:rPr>
            </w:pPr>
            <w:r>
              <w:rPr>
                <w:rFonts w:hint="eastAsia"/>
                <w:color w:val="auto"/>
                <w:highlight w:val="none"/>
              </w:rPr>
              <w:t>兴业县</w:t>
            </w:r>
          </w:p>
        </w:tc>
        <w:tc>
          <w:tcPr>
            <w:tcW w:w="326"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3</w:t>
            </w:r>
          </w:p>
        </w:tc>
        <w:tc>
          <w:tcPr>
            <w:tcW w:w="404"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1</w:t>
            </w: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6</w:t>
            </w: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14</w:t>
            </w:r>
          </w:p>
        </w:tc>
        <w:tc>
          <w:tcPr>
            <w:tcW w:w="236"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1</w:t>
            </w: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6</w:t>
            </w: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11</w:t>
            </w:r>
          </w:p>
        </w:tc>
        <w:tc>
          <w:tcPr>
            <w:tcW w:w="236"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7</w:t>
            </w:r>
          </w:p>
        </w:tc>
        <w:tc>
          <w:tcPr>
            <w:tcW w:w="236"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3</w:t>
            </w: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4</w:t>
            </w:r>
          </w:p>
        </w:tc>
        <w:tc>
          <w:tcPr>
            <w:tcW w:w="236"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10</w:t>
            </w:r>
          </w:p>
        </w:tc>
        <w:tc>
          <w:tcPr>
            <w:tcW w:w="236"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27</w:t>
            </w: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45</w:t>
            </w:r>
          </w:p>
        </w:tc>
        <w:tc>
          <w:tcPr>
            <w:tcW w:w="238"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138</w:t>
            </w:r>
          </w:p>
        </w:tc>
      </w:tr>
      <w:tr>
        <w:tblPrEx>
          <w:tblW w:w="5000" w:type="pct"/>
          <w:tblInd w:w="0" w:type="dxa"/>
          <w:tblCellMar>
            <w:top w:w="0" w:type="dxa"/>
            <w:left w:w="108" w:type="dxa"/>
            <w:bottom w:w="0" w:type="dxa"/>
            <w:right w:w="108" w:type="dxa"/>
          </w:tblCellMar>
        </w:tblPrEx>
        <w:trPr>
          <w:trHeight w:val="290"/>
        </w:trPr>
        <w:tc>
          <w:tcPr>
            <w:tcW w:w="301" w:type="pct"/>
            <w:shd w:val="clear" w:color="auto" w:fill="auto"/>
            <w:noWrap/>
          </w:tcPr>
          <w:p>
            <w:pPr>
              <w:widowControl/>
              <w:spacing w:line="240" w:lineRule="auto"/>
              <w:ind w:left="0" w:firstLine="0" w:firstLineChars="0"/>
              <w:jc w:val="center"/>
              <w:rPr>
                <w:rFonts w:ascii="宋体" w:eastAsia="宋体" w:hAnsi="宋体" w:cs="宋体"/>
                <w:color w:val="auto"/>
                <w:kern w:val="0"/>
                <w:sz w:val="22"/>
                <w:highlight w:val="none"/>
              </w:rPr>
            </w:pPr>
            <w:r>
              <w:rPr>
                <w:rFonts w:hint="eastAsia"/>
                <w:color w:val="auto"/>
                <w:highlight w:val="none"/>
              </w:rPr>
              <w:t>玉州区</w:t>
            </w:r>
          </w:p>
        </w:tc>
        <w:tc>
          <w:tcPr>
            <w:tcW w:w="326"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89</w:t>
            </w:r>
          </w:p>
        </w:tc>
        <w:tc>
          <w:tcPr>
            <w:tcW w:w="404"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16</w:t>
            </w: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70</w:t>
            </w: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97</w:t>
            </w:r>
          </w:p>
        </w:tc>
        <w:tc>
          <w:tcPr>
            <w:tcW w:w="236"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15</w:t>
            </w: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84</w:t>
            </w: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149</w:t>
            </w:r>
          </w:p>
        </w:tc>
        <w:tc>
          <w:tcPr>
            <w:tcW w:w="236"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2</w:t>
            </w:r>
          </w:p>
        </w:tc>
        <w:tc>
          <w:tcPr>
            <w:tcW w:w="236"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133</w:t>
            </w: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28</w:t>
            </w:r>
          </w:p>
        </w:tc>
        <w:tc>
          <w:tcPr>
            <w:tcW w:w="236"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89</w:t>
            </w:r>
          </w:p>
        </w:tc>
        <w:tc>
          <w:tcPr>
            <w:tcW w:w="236"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86</w:t>
            </w:r>
          </w:p>
        </w:tc>
        <w:tc>
          <w:tcPr>
            <w:tcW w:w="365" w:type="pct"/>
            <w:shd w:val="clear" w:color="auto" w:fill="auto"/>
            <w:noWrap/>
          </w:tcPr>
          <w:p>
            <w:pPr>
              <w:widowControl/>
              <w:spacing w:line="240" w:lineRule="auto"/>
              <w:ind w:left="0" w:firstLine="0" w:firstLineChars="0"/>
              <w:jc w:val="center"/>
              <w:rPr>
                <w:rFonts w:ascii="Calibri" w:eastAsia="宋体" w:hAnsi="Calibri" w:cs="Calibri"/>
                <w:color w:val="auto"/>
                <w:kern w:val="0"/>
                <w:sz w:val="22"/>
                <w:highlight w:val="none"/>
              </w:rPr>
            </w:pPr>
            <w:r>
              <w:rPr>
                <w:rFonts w:hint="eastAsia"/>
                <w:color w:val="auto"/>
                <w:highlight w:val="none"/>
              </w:rPr>
              <w:t>871</w:t>
            </w:r>
          </w:p>
        </w:tc>
        <w:tc>
          <w:tcPr>
            <w:tcW w:w="238" w:type="pct"/>
            <w:shd w:val="clear" w:color="auto" w:fill="auto"/>
            <w:noWrap/>
          </w:tcPr>
          <w:p>
            <w:pPr>
              <w:widowControl/>
              <w:spacing w:line="240" w:lineRule="auto"/>
              <w:ind w:left="0" w:firstLine="0" w:firstLineChars="0"/>
              <w:jc w:val="center"/>
              <w:rPr>
                <w:rFonts w:ascii="Calibri" w:hAnsi="Calibri" w:cs="Calibri"/>
                <w:color w:val="auto"/>
                <w:kern w:val="0"/>
                <w:sz w:val="22"/>
                <w:highlight w:val="none"/>
              </w:rPr>
            </w:pPr>
            <w:r>
              <w:rPr>
                <w:rFonts w:hint="eastAsia"/>
                <w:color w:val="auto"/>
                <w:highlight w:val="none"/>
              </w:rPr>
              <w:t>1729</w:t>
            </w:r>
          </w:p>
        </w:tc>
      </w:tr>
      <w:tr>
        <w:tblPrEx>
          <w:tblW w:w="5000" w:type="pct"/>
          <w:tblInd w:w="0" w:type="dxa"/>
          <w:tblCellMar>
            <w:top w:w="0" w:type="dxa"/>
            <w:left w:w="108" w:type="dxa"/>
            <w:bottom w:w="0" w:type="dxa"/>
            <w:right w:w="108" w:type="dxa"/>
          </w:tblCellMar>
        </w:tblPrEx>
        <w:trPr>
          <w:trHeight w:val="295"/>
        </w:trPr>
        <w:tc>
          <w:tcPr>
            <w:tcW w:w="301" w:type="pct"/>
            <w:shd w:val="clear" w:color="auto" w:fill="auto"/>
            <w:noWrap/>
          </w:tcPr>
          <w:p>
            <w:pPr>
              <w:widowControl/>
              <w:spacing w:line="240" w:lineRule="auto"/>
              <w:ind w:left="0" w:firstLine="0" w:firstLineChars="0"/>
              <w:jc w:val="center"/>
              <w:rPr>
                <w:rFonts w:ascii="宋体" w:eastAsia="宋体" w:hAnsi="宋体" w:cs="宋体"/>
                <w:color w:val="auto"/>
                <w:kern w:val="0"/>
                <w:sz w:val="22"/>
                <w:highlight w:val="none"/>
              </w:rPr>
            </w:pPr>
            <w:r>
              <w:rPr>
                <w:rFonts w:hint="eastAsia"/>
                <w:color w:val="auto"/>
                <w:highlight w:val="none"/>
              </w:rPr>
              <w:t>总计</w:t>
            </w:r>
          </w:p>
        </w:tc>
        <w:tc>
          <w:tcPr>
            <w:tcW w:w="326" w:type="pct"/>
            <w:shd w:val="clear" w:color="auto" w:fill="auto"/>
            <w:noWrap/>
          </w:tcPr>
          <w:p>
            <w:pPr>
              <w:widowControl/>
              <w:spacing w:line="240" w:lineRule="auto"/>
              <w:ind w:left="0" w:firstLine="0" w:firstLineChars="0"/>
              <w:jc w:val="center"/>
              <w:rPr>
                <w:rFonts w:ascii="宋体" w:eastAsia="宋体" w:hAnsi="宋体" w:cs="宋体"/>
                <w:color w:val="auto"/>
                <w:kern w:val="0"/>
                <w:sz w:val="22"/>
                <w:highlight w:val="none"/>
              </w:rPr>
            </w:pPr>
            <w:r>
              <w:rPr>
                <w:rFonts w:hint="eastAsia"/>
                <w:color w:val="auto"/>
                <w:highlight w:val="none"/>
              </w:rPr>
              <w:t>170</w:t>
            </w:r>
          </w:p>
        </w:tc>
        <w:tc>
          <w:tcPr>
            <w:tcW w:w="404" w:type="pct"/>
            <w:shd w:val="clear" w:color="auto" w:fill="auto"/>
            <w:noWrap/>
          </w:tcPr>
          <w:p>
            <w:pPr>
              <w:widowControl/>
              <w:spacing w:line="240" w:lineRule="auto"/>
              <w:ind w:left="0" w:firstLine="0" w:firstLineChars="0"/>
              <w:jc w:val="center"/>
              <w:rPr>
                <w:rFonts w:ascii="宋体" w:hAnsi="宋体" w:cs="宋体"/>
                <w:color w:val="auto"/>
                <w:kern w:val="0"/>
                <w:sz w:val="22"/>
                <w:highlight w:val="none"/>
              </w:rPr>
            </w:pPr>
            <w:r>
              <w:rPr>
                <w:rFonts w:hint="eastAsia"/>
                <w:color w:val="auto"/>
                <w:highlight w:val="none"/>
              </w:rPr>
              <w:t>27</w:t>
            </w:r>
          </w:p>
        </w:tc>
        <w:tc>
          <w:tcPr>
            <w:tcW w:w="365" w:type="pct"/>
            <w:shd w:val="clear" w:color="auto" w:fill="auto"/>
            <w:noWrap/>
          </w:tcPr>
          <w:p>
            <w:pPr>
              <w:widowControl/>
              <w:spacing w:line="240" w:lineRule="auto"/>
              <w:ind w:left="0" w:firstLine="0" w:firstLineChars="0"/>
              <w:jc w:val="center"/>
              <w:rPr>
                <w:rFonts w:ascii="宋体" w:eastAsia="宋体" w:hAnsi="宋体" w:cs="宋体"/>
                <w:color w:val="auto"/>
                <w:kern w:val="0"/>
                <w:sz w:val="22"/>
                <w:highlight w:val="none"/>
              </w:rPr>
            </w:pPr>
            <w:r>
              <w:rPr>
                <w:rFonts w:hint="eastAsia"/>
                <w:color w:val="auto"/>
                <w:highlight w:val="none"/>
              </w:rPr>
              <w:t>132</w:t>
            </w:r>
          </w:p>
        </w:tc>
        <w:tc>
          <w:tcPr>
            <w:tcW w:w="365" w:type="pct"/>
            <w:shd w:val="clear" w:color="auto" w:fill="auto"/>
            <w:noWrap/>
          </w:tcPr>
          <w:p>
            <w:pPr>
              <w:widowControl/>
              <w:spacing w:line="240" w:lineRule="auto"/>
              <w:ind w:left="0" w:firstLine="0" w:firstLineChars="0"/>
              <w:jc w:val="center"/>
              <w:rPr>
                <w:rFonts w:ascii="宋体" w:eastAsia="宋体" w:hAnsi="宋体" w:cs="宋体"/>
                <w:color w:val="auto"/>
                <w:kern w:val="0"/>
                <w:sz w:val="22"/>
                <w:highlight w:val="none"/>
              </w:rPr>
            </w:pPr>
            <w:r>
              <w:rPr>
                <w:rFonts w:hint="eastAsia"/>
                <w:color w:val="auto"/>
                <w:highlight w:val="none"/>
              </w:rPr>
              <w:t>184</w:t>
            </w:r>
          </w:p>
        </w:tc>
        <w:tc>
          <w:tcPr>
            <w:tcW w:w="236" w:type="pct"/>
            <w:shd w:val="clear" w:color="auto" w:fill="auto"/>
            <w:noWrap/>
          </w:tcPr>
          <w:p>
            <w:pPr>
              <w:widowControl/>
              <w:spacing w:line="240" w:lineRule="auto"/>
              <w:ind w:left="0" w:firstLine="0" w:firstLineChars="0"/>
              <w:jc w:val="center"/>
              <w:rPr>
                <w:rFonts w:ascii="宋体" w:eastAsia="宋体" w:hAnsi="宋体" w:cs="宋体"/>
                <w:color w:val="auto"/>
                <w:kern w:val="0"/>
                <w:sz w:val="22"/>
                <w:highlight w:val="none"/>
              </w:rPr>
            </w:pPr>
            <w:r>
              <w:rPr>
                <w:rFonts w:hint="eastAsia"/>
                <w:color w:val="auto"/>
                <w:highlight w:val="none"/>
              </w:rPr>
              <w:t>3</w:t>
            </w:r>
          </w:p>
        </w:tc>
        <w:tc>
          <w:tcPr>
            <w:tcW w:w="365" w:type="pct"/>
            <w:shd w:val="clear" w:color="auto" w:fill="auto"/>
            <w:noWrap/>
          </w:tcPr>
          <w:p>
            <w:pPr>
              <w:widowControl/>
              <w:spacing w:line="240" w:lineRule="auto"/>
              <w:ind w:left="0" w:firstLine="0" w:firstLineChars="0"/>
              <w:jc w:val="center"/>
              <w:rPr>
                <w:rFonts w:ascii="宋体" w:eastAsia="宋体" w:hAnsi="宋体" w:cs="宋体"/>
                <w:color w:val="auto"/>
                <w:kern w:val="0"/>
                <w:sz w:val="22"/>
                <w:highlight w:val="none"/>
              </w:rPr>
            </w:pPr>
            <w:r>
              <w:rPr>
                <w:rFonts w:hint="eastAsia"/>
                <w:color w:val="auto"/>
                <w:highlight w:val="none"/>
              </w:rPr>
              <w:t>33</w:t>
            </w:r>
          </w:p>
        </w:tc>
        <w:tc>
          <w:tcPr>
            <w:tcW w:w="365" w:type="pct"/>
            <w:shd w:val="clear" w:color="auto" w:fill="auto"/>
            <w:noWrap/>
          </w:tcPr>
          <w:p>
            <w:pPr>
              <w:widowControl/>
              <w:spacing w:line="240" w:lineRule="auto"/>
              <w:ind w:left="0" w:firstLine="0" w:firstLineChars="0"/>
              <w:jc w:val="center"/>
              <w:rPr>
                <w:rFonts w:ascii="宋体" w:eastAsia="宋体" w:hAnsi="宋体" w:cs="宋体"/>
                <w:color w:val="auto"/>
                <w:kern w:val="0"/>
                <w:sz w:val="22"/>
                <w:highlight w:val="none"/>
              </w:rPr>
            </w:pPr>
            <w:r>
              <w:rPr>
                <w:rFonts w:hint="eastAsia"/>
                <w:color w:val="auto"/>
                <w:highlight w:val="none"/>
              </w:rPr>
              <w:t>143</w:t>
            </w:r>
          </w:p>
        </w:tc>
        <w:tc>
          <w:tcPr>
            <w:tcW w:w="365" w:type="pct"/>
            <w:shd w:val="clear" w:color="auto" w:fill="auto"/>
            <w:noWrap/>
          </w:tcPr>
          <w:p>
            <w:pPr>
              <w:widowControl/>
              <w:spacing w:line="240" w:lineRule="auto"/>
              <w:ind w:left="0" w:firstLine="0" w:firstLineChars="0"/>
              <w:jc w:val="center"/>
              <w:rPr>
                <w:rFonts w:ascii="宋体" w:eastAsia="宋体" w:hAnsi="宋体" w:cs="宋体"/>
                <w:color w:val="auto"/>
                <w:kern w:val="0"/>
                <w:sz w:val="22"/>
                <w:highlight w:val="none"/>
              </w:rPr>
            </w:pPr>
            <w:r>
              <w:rPr>
                <w:rFonts w:hint="eastAsia"/>
                <w:color w:val="auto"/>
                <w:highlight w:val="none"/>
              </w:rPr>
              <w:t>281</w:t>
            </w:r>
          </w:p>
        </w:tc>
        <w:tc>
          <w:tcPr>
            <w:tcW w:w="236" w:type="pct"/>
            <w:shd w:val="clear" w:color="auto" w:fill="auto"/>
            <w:noWrap/>
          </w:tcPr>
          <w:p>
            <w:pPr>
              <w:widowControl/>
              <w:spacing w:line="240" w:lineRule="auto"/>
              <w:ind w:left="0" w:firstLine="0" w:firstLineChars="0"/>
              <w:jc w:val="center"/>
              <w:rPr>
                <w:rFonts w:ascii="宋体" w:eastAsia="宋体" w:hAnsi="宋体" w:cs="宋体"/>
                <w:color w:val="auto"/>
                <w:kern w:val="0"/>
                <w:sz w:val="22"/>
                <w:highlight w:val="none"/>
              </w:rPr>
            </w:pPr>
            <w:r>
              <w:rPr>
                <w:rFonts w:hint="eastAsia"/>
                <w:color w:val="auto"/>
                <w:highlight w:val="none"/>
              </w:rPr>
              <w:t>27</w:t>
            </w:r>
          </w:p>
        </w:tc>
        <w:tc>
          <w:tcPr>
            <w:tcW w:w="236" w:type="pct"/>
            <w:shd w:val="clear" w:color="auto" w:fill="auto"/>
            <w:noWrap/>
          </w:tcPr>
          <w:p>
            <w:pPr>
              <w:widowControl/>
              <w:spacing w:line="240" w:lineRule="auto"/>
              <w:ind w:left="0" w:firstLine="0" w:firstLineChars="0"/>
              <w:jc w:val="center"/>
              <w:rPr>
                <w:rFonts w:ascii="宋体" w:eastAsia="宋体" w:hAnsi="宋体" w:cs="宋体"/>
                <w:color w:val="auto"/>
                <w:kern w:val="0"/>
                <w:sz w:val="22"/>
                <w:highlight w:val="none"/>
              </w:rPr>
            </w:pPr>
            <w:r>
              <w:rPr>
                <w:rFonts w:hint="eastAsia"/>
                <w:color w:val="auto"/>
                <w:highlight w:val="none"/>
              </w:rPr>
              <w:t>156</w:t>
            </w:r>
          </w:p>
        </w:tc>
        <w:tc>
          <w:tcPr>
            <w:tcW w:w="365" w:type="pct"/>
            <w:shd w:val="clear" w:color="auto" w:fill="auto"/>
            <w:noWrap/>
          </w:tcPr>
          <w:p>
            <w:pPr>
              <w:widowControl/>
              <w:spacing w:line="240" w:lineRule="auto"/>
              <w:ind w:left="0" w:firstLine="0" w:firstLineChars="0"/>
              <w:jc w:val="center"/>
              <w:rPr>
                <w:rFonts w:ascii="宋体" w:eastAsia="宋体" w:hAnsi="宋体" w:cs="宋体"/>
                <w:color w:val="auto"/>
                <w:kern w:val="0"/>
                <w:sz w:val="22"/>
                <w:highlight w:val="none"/>
              </w:rPr>
            </w:pPr>
            <w:r>
              <w:rPr>
                <w:rFonts w:hint="eastAsia"/>
                <w:color w:val="auto"/>
                <w:highlight w:val="none"/>
              </w:rPr>
              <w:t>81</w:t>
            </w:r>
          </w:p>
        </w:tc>
        <w:tc>
          <w:tcPr>
            <w:tcW w:w="236" w:type="pct"/>
            <w:shd w:val="clear" w:color="auto" w:fill="auto"/>
            <w:noWrap/>
          </w:tcPr>
          <w:p>
            <w:pPr>
              <w:widowControl/>
              <w:spacing w:line="240" w:lineRule="auto"/>
              <w:ind w:left="0" w:firstLine="0" w:firstLineChars="0"/>
              <w:jc w:val="center"/>
              <w:rPr>
                <w:rFonts w:ascii="宋体" w:eastAsia="宋体" w:hAnsi="宋体" w:cs="宋体"/>
                <w:color w:val="auto"/>
                <w:kern w:val="0"/>
                <w:sz w:val="22"/>
                <w:highlight w:val="none"/>
              </w:rPr>
            </w:pPr>
            <w:r>
              <w:rPr>
                <w:rFonts w:hint="eastAsia"/>
                <w:color w:val="auto"/>
                <w:highlight w:val="none"/>
              </w:rPr>
              <w:t>156</w:t>
            </w:r>
          </w:p>
        </w:tc>
        <w:tc>
          <w:tcPr>
            <w:tcW w:w="236" w:type="pct"/>
            <w:shd w:val="clear" w:color="auto" w:fill="auto"/>
            <w:noWrap/>
          </w:tcPr>
          <w:p>
            <w:pPr>
              <w:widowControl/>
              <w:spacing w:line="240" w:lineRule="auto"/>
              <w:ind w:left="0" w:firstLine="0" w:firstLineChars="0"/>
              <w:jc w:val="center"/>
              <w:rPr>
                <w:rFonts w:ascii="宋体" w:eastAsia="宋体" w:hAnsi="宋体" w:cs="宋体"/>
                <w:color w:val="auto"/>
                <w:kern w:val="0"/>
                <w:sz w:val="22"/>
                <w:highlight w:val="none"/>
              </w:rPr>
            </w:pPr>
            <w:r>
              <w:rPr>
                <w:rFonts w:hint="eastAsia"/>
                <w:color w:val="auto"/>
                <w:highlight w:val="none"/>
              </w:rPr>
              <w:t>364</w:t>
            </w:r>
          </w:p>
        </w:tc>
        <w:tc>
          <w:tcPr>
            <w:tcW w:w="365" w:type="pct"/>
            <w:shd w:val="clear" w:color="auto" w:fill="auto"/>
            <w:noWrap/>
          </w:tcPr>
          <w:p>
            <w:pPr>
              <w:widowControl/>
              <w:spacing w:line="240" w:lineRule="auto"/>
              <w:ind w:left="0" w:firstLine="0" w:firstLineChars="0"/>
              <w:jc w:val="center"/>
              <w:rPr>
                <w:rFonts w:ascii="宋体" w:eastAsia="宋体" w:hAnsi="宋体" w:cs="宋体"/>
                <w:color w:val="auto"/>
                <w:kern w:val="0"/>
                <w:sz w:val="22"/>
                <w:highlight w:val="none"/>
              </w:rPr>
            </w:pPr>
            <w:r>
              <w:rPr>
                <w:rFonts w:hint="eastAsia"/>
                <w:color w:val="auto"/>
                <w:highlight w:val="none"/>
              </w:rPr>
              <w:t>1845</w:t>
            </w:r>
          </w:p>
        </w:tc>
        <w:tc>
          <w:tcPr>
            <w:tcW w:w="238" w:type="pct"/>
            <w:shd w:val="clear" w:color="auto" w:fill="auto"/>
            <w:noWrap/>
          </w:tcPr>
          <w:p>
            <w:pPr>
              <w:widowControl/>
              <w:spacing w:line="240" w:lineRule="auto"/>
              <w:ind w:left="0" w:firstLine="0" w:firstLineChars="0"/>
              <w:jc w:val="center"/>
              <w:rPr>
                <w:rFonts w:ascii="宋体" w:hAnsi="宋体" w:cs="宋体"/>
                <w:color w:val="auto"/>
                <w:kern w:val="0"/>
                <w:sz w:val="22"/>
                <w:highlight w:val="none"/>
              </w:rPr>
            </w:pPr>
            <w:r>
              <w:rPr>
                <w:rFonts w:hint="eastAsia"/>
                <w:color w:val="auto"/>
                <w:highlight w:val="none"/>
              </w:rPr>
              <w:t>3602</w:t>
            </w:r>
          </w:p>
        </w:tc>
      </w:tr>
    </w:tbl>
    <w:p>
      <w:pPr>
        <w:spacing w:line="240" w:lineRule="auto"/>
        <w:ind w:left="0" w:firstLine="422"/>
        <w:jc w:val="center"/>
        <w:rPr>
          <w:rFonts w:ascii="Times New Roman" w:eastAsia="宋体" w:hAnsi="Times New Roman" w:hint="eastAsia"/>
          <w:b/>
          <w:bCs/>
          <w:color w:val="auto"/>
          <w:szCs w:val="21"/>
          <w:highlight w:val="none"/>
        </w:rPr>
      </w:pPr>
    </w:p>
    <w:p>
      <w:pPr>
        <w:widowControl/>
        <w:spacing w:line="240" w:lineRule="auto"/>
        <w:ind w:left="0" w:firstLine="640"/>
        <w:rPr>
          <w:rFonts w:ascii="Times New Roman" w:eastAsia="宋体" w:hAnsi="Times New Roman"/>
          <w:color w:val="auto"/>
          <w:sz w:val="32"/>
          <w:szCs w:val="32"/>
          <w:highlight w:val="none"/>
        </w:rPr>
      </w:pPr>
      <w:r>
        <w:rPr>
          <w:rFonts w:ascii="Times New Roman" w:eastAsia="宋体" w:hAnsi="Times New Roman"/>
          <w:color w:val="auto"/>
          <w:sz w:val="32"/>
          <w:szCs w:val="32"/>
          <w:highlight w:val="none"/>
        </w:rPr>
        <w:br w:type="page"/>
      </w:r>
    </w:p>
    <w:p>
      <w:pPr>
        <w:pStyle w:val="Heading2"/>
        <w:spacing w:before="260" w:after="260" w:line="240" w:lineRule="auto"/>
        <w:ind w:left="0" w:firstLine="643"/>
        <w:rPr>
          <w:rFonts w:ascii="Times New Roman" w:eastAsia="宋体" w:hAnsi="Times New Roman"/>
          <w:color w:val="auto"/>
          <w:sz w:val="32"/>
          <w:szCs w:val="32"/>
          <w:highlight w:val="none"/>
        </w:rPr>
      </w:pPr>
      <w:bookmarkStart w:id="38" w:name="_Toc27140"/>
      <w:r>
        <w:rPr>
          <w:rFonts w:ascii="Times New Roman" w:eastAsia="宋体" w:hAnsi="Times New Roman" w:hint="eastAsia"/>
          <w:color w:val="auto"/>
          <w:sz w:val="32"/>
          <w:szCs w:val="32"/>
          <w:highlight w:val="none"/>
        </w:rPr>
        <w:t>第七章 重点机房基础设施规划</w:t>
      </w:r>
      <w:bookmarkEnd w:id="38"/>
    </w:p>
    <w:p>
      <w:pPr>
        <w:pStyle w:val="Heading3"/>
        <w:spacing w:line="240" w:lineRule="auto"/>
        <w:ind w:left="0" w:firstLine="482"/>
        <w:rPr>
          <w:rFonts w:ascii="Times New Roman" w:eastAsia="宋体" w:hAnsi="Times New Roman" w:cstheme="majorEastAsia"/>
          <w:color w:val="auto"/>
          <w:sz w:val="24"/>
          <w:szCs w:val="24"/>
          <w:highlight w:val="none"/>
        </w:rPr>
      </w:pPr>
      <w:bookmarkStart w:id="39" w:name="_Toc1313"/>
      <w:r>
        <w:rPr>
          <w:rFonts w:ascii="Times New Roman" w:eastAsia="宋体" w:hAnsi="Times New Roman" w:cstheme="majorEastAsia" w:hint="eastAsia"/>
          <w:color w:val="auto"/>
          <w:sz w:val="24"/>
          <w:szCs w:val="24"/>
          <w:highlight w:val="none"/>
        </w:rPr>
        <w:t>一、重点机房规划原则</w:t>
      </w:r>
      <w:bookmarkEnd w:id="39"/>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1、需求类型</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重点机房应形成分层分级，覆盖全网络的机房布局。重点机房规划根据发展需求从以下几个方面考虑。</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（1）骨干网络节点机房（一类）：主要布置核心网设备、多媒体网关以及数据中心等核心设备。骨干网络节点机房面积应根据实际情况确定</w:t>
      </w:r>
      <w:r>
        <w:rPr>
          <w:rFonts w:ascii="Times New Roman" w:eastAsia="宋体" w:hAnsi="Times New Roman" w:hint="eastAsia"/>
          <w:color w:val="auto"/>
          <w:sz w:val="24"/>
          <w:szCs w:val="24"/>
          <w:highlight w:val="none"/>
          <w:lang w:eastAsia="zh-CN"/>
        </w:rPr>
        <w:t>，</w:t>
      </w:r>
      <w:r>
        <w:rPr>
          <w:rFonts w:ascii="Times New Roman" w:eastAsia="宋体" w:hAnsi="Times New Roman" w:hint="eastAsia"/>
          <w:color w:val="auto"/>
          <w:sz w:val="24"/>
          <w:szCs w:val="24"/>
          <w:highlight w:val="none"/>
          <w:lang w:val="en-US" w:eastAsia="zh-CN"/>
        </w:rPr>
        <w:t>且不少于300平方米</w:t>
      </w:r>
      <w:r>
        <w:rPr>
          <w:rFonts w:ascii="Times New Roman" w:eastAsia="宋体" w:hAnsi="Times New Roman" w:hint="eastAsia"/>
          <w:color w:val="auto"/>
          <w:sz w:val="24"/>
          <w:szCs w:val="24"/>
          <w:highlight w:val="none"/>
        </w:rPr>
        <w:t>。</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（2）传输节点机房（二类）：结合传输网络架构考虑机房需求，主要实现本地网的传输收敛，包括光传输综合接入机房、汇聚机房、光缆干线机房等。传输节点机房面积应根据实际情况确定</w:t>
      </w:r>
      <w:r>
        <w:rPr>
          <w:rFonts w:ascii="Times New Roman" w:eastAsia="宋体" w:hAnsi="Times New Roman" w:hint="eastAsia"/>
          <w:color w:val="auto"/>
          <w:sz w:val="24"/>
          <w:szCs w:val="24"/>
          <w:highlight w:val="none"/>
          <w:lang w:eastAsia="zh-CN"/>
        </w:rPr>
        <w:t>，</w:t>
      </w:r>
      <w:r>
        <w:rPr>
          <w:rFonts w:ascii="Times New Roman" w:eastAsia="宋体" w:hAnsi="Times New Roman" w:hint="eastAsia"/>
          <w:color w:val="auto"/>
          <w:sz w:val="24"/>
          <w:szCs w:val="24"/>
          <w:highlight w:val="none"/>
          <w:lang w:val="en-US" w:eastAsia="zh-CN"/>
        </w:rPr>
        <w:t>且不少于100平方米</w:t>
      </w:r>
      <w:r>
        <w:rPr>
          <w:rFonts w:ascii="Times New Roman" w:eastAsia="宋体" w:hAnsi="Times New Roman" w:hint="eastAsia"/>
          <w:color w:val="auto"/>
          <w:sz w:val="24"/>
          <w:szCs w:val="24"/>
          <w:highlight w:val="none"/>
        </w:rPr>
        <w:t>。</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3）综合接入机房（三类）：为提供CU/DU等设备的集中部署，统一供电、统一传输接入的节点，是综合方案的核心节点，是区域网络覆盖信息流和能源流的汇集中心。在考虑满足无线网设备部署的同时，借助机房的传输节点、不间断电源、全天候运维保障条件下，考虑全业务网络接入需求的部署，例如小区家庭宽带OLT、专线节点、边缘计算设备需求等。综合接入机房面积应不小于80平方米。</w:t>
      </w:r>
    </w:p>
    <w:p>
      <w:pPr>
        <w:spacing w:line="240" w:lineRule="auto"/>
        <w:ind w:left="0" w:firstLine="315" w:firstLineChars="15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4）无线网C-RAN机房（四类）：随着后期5G网络覆盖需求，城区站址密度大幅度增加，无线基站在局部区域出现塔、房分离的趋势，无线基站设备出现集中放置、集中供电、集中传输的需求，5G网络呈现为BBU池需求，此外边缘计算设备需求也将逐渐出现。无线网C-RAN机房面积应不小于40平方米。</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2、规划原则</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重点机房应重点考虑物业点稳定性、传输管道和光缆资源、外市电、机房空间及承重、电源容量及备电等因素，不同等级的重点机房根据业务需要确定具体标准和预留。</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（1）机房位置</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重点机房应根据城市通信网络发展目标，考虑多业务的统一承载要求进行布局，结合地理位置，在业务需求多、发展快的重点区域选取，并尽量位于其覆盖范围的中心区域，便于各类业务的接入。</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重点机房应设置在地势较高、不易被水淹没、不易渗水的地方；机房周边应有较安全的外部环境和较好的电磁环境。</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（2）物业点稳定性</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重点机房可采用“建、购、租相结合”的原则进行建设，对于新开发区域，则应根据市政规划用地性质，提前预留重点机房用地，或者在新建商业楼宇或市政设施中预留机房位置。纳入国土空间规划，进行资源储备。</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对于城市建成区，重点机房可考虑设置于公园、绿化带、广场等市政设施区域，便于资源的批量获取，降低协调成本和建设成本。租用重点机房应考虑物业单位稳定性，确保机房的长期可用，避免机房纠纷、搬迁等。</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color w:val="auto"/>
          <w:sz w:val="24"/>
          <w:szCs w:val="24"/>
          <w:highlight w:val="none"/>
        </w:rPr>
        <w:drawing>
          <wp:anchor distT="0" distB="0" distL="114300" distR="114300" simplePos="0" relativeHeight="251658240" behindDoc="0" locked="0" layoutInCell="1" allowOverlap="1">
            <wp:simplePos x="0" y="0"/>
            <wp:positionH relativeFrom="column">
              <wp:posOffset>692785</wp:posOffset>
            </wp:positionH>
            <wp:positionV relativeFrom="paragraph">
              <wp:posOffset>396875</wp:posOffset>
            </wp:positionV>
            <wp:extent cx="5269230" cy="2820670"/>
            <wp:effectExtent l="0" t="0" r="7620" b="0"/>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5269230" cy="2820670"/>
                    </a:xfrm>
                    <a:prstGeom prst="rect">
                      <a:avLst/>
                    </a:prstGeom>
                    <a:noFill/>
                    <a:ln>
                      <a:noFill/>
                    </a:ln>
                  </pic:spPr>
                </pic:pic>
              </a:graphicData>
            </a:graphic>
          </wp:anchor>
        </w:drawing>
      </w:r>
      <w:r>
        <w:rPr>
          <w:rFonts w:ascii="Times New Roman" w:eastAsia="宋体" w:hAnsi="Times New Roman" w:hint="eastAsia"/>
          <w:color w:val="auto"/>
          <w:sz w:val="24"/>
          <w:szCs w:val="24"/>
          <w:highlight w:val="none"/>
        </w:rPr>
        <w:t>（3）传输管道和光缆资源</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重点机房宜选择在交通较为方便的城市干道交</w:t>
      </w:r>
      <w:r>
        <w:rPr>
          <w:rFonts w:ascii="Times New Roman" w:eastAsia="宋体" w:hAnsi="Times New Roman" w:hint="eastAsia"/>
          <w:color w:val="auto"/>
          <w:sz w:val="24"/>
          <w:szCs w:val="24"/>
          <w:highlight w:val="none"/>
          <w:lang w:val="en-US" w:eastAsia="zh-CN"/>
        </w:rPr>
        <w:t>会</w:t>
      </w:r>
      <w:r>
        <w:rPr>
          <w:rFonts w:ascii="Times New Roman" w:eastAsia="宋体" w:hAnsi="Times New Roman" w:hint="eastAsia"/>
          <w:color w:val="auto"/>
          <w:sz w:val="24"/>
          <w:szCs w:val="24"/>
          <w:highlight w:val="none"/>
        </w:rPr>
        <w:t>区域，机房附近应有基础电信企业管道或光缆资源，便于基础电信企业光缆接入机房，以便于传输网络的组织。</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（4）外市电</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重点机房一般设备较多，保障要求较高，断电影响网络范围较大，因此对外市电要求较高，重点考虑外电引入条件是否能满足机房的需求，优先选择直供电。对于等级较高的机房，可根据基础电信企业需求考虑引入双路电形成一主一备。容量方面根据业务需求进行核算，并预留业务扩展的需要。</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（5）机房空间及承重</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重点机房设备主要包括无线设备、传输设备、边缘计算服务器等主设备，以及配线架、配电柜、后备电源、制冷机等配套设备，根据设备部署需要进行相应的机房空间和承重核算，并预留足够的机架扩展的空间需求。</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（6）电源容量及备电</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根据设备部署需要进行相应电源容量及备电电池组容量的核算，并预留足够的业务扩展需要。</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（7）集中供电、集中放置、集中管理</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随着基站小型化，密集化，多样化的转变，为周边站点、基站群、提供传输汇聚，集中放置、集中供电等服务是5G发展的必然方向，利用削峰填谷、光伏供电、锂电储能等方式在合适的基站建设“能源池”（母站），与周边基站（子站）组合成微电网。通过直流和交流的方式，“能源池”对微电网内所有基站进行不间断供电。实施后，可取消子站的电源柜、空调、电池等设备的配置，节约投资；可实现集中供电 、集中管理 、集中维护。</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3、重点整合方案</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cs="宋体" w:hint="eastAsia"/>
          <w:color w:val="auto"/>
          <w:sz w:val="24"/>
          <w:szCs w:val="24"/>
          <w:highlight w:val="none"/>
        </w:rPr>
        <w:t>不同电信企业提出的同种类型重点机房新建需求，应根据各个电信企业需求位置点的间距、周围环境、场地地势、供配电、管道及光缆资源等条件，将经方案对比后适宜集中建设的同类型重点机房需求进行整合，尽可能减少资源浪费，提升投资效益</w:t>
      </w:r>
      <w:r>
        <w:rPr>
          <w:rFonts w:ascii="Times New Roman" w:eastAsia="宋体" w:hAnsi="Times New Roman" w:hint="eastAsia"/>
          <w:color w:val="auto"/>
          <w:sz w:val="24"/>
          <w:szCs w:val="24"/>
          <w:highlight w:val="none"/>
        </w:rPr>
        <w:t>。</w:t>
      </w:r>
    </w:p>
    <w:p>
      <w:pPr>
        <w:pStyle w:val="Heading3"/>
        <w:spacing w:line="240" w:lineRule="auto"/>
        <w:ind w:left="0" w:firstLine="482"/>
        <w:rPr>
          <w:rFonts w:ascii="Times New Roman" w:eastAsia="宋体" w:hAnsi="Times New Roman" w:cstheme="majorEastAsia"/>
          <w:color w:val="auto"/>
          <w:sz w:val="24"/>
          <w:szCs w:val="24"/>
          <w:highlight w:val="none"/>
        </w:rPr>
      </w:pPr>
      <w:bookmarkStart w:id="40" w:name="_Toc6106"/>
      <w:r>
        <w:rPr>
          <w:rFonts w:ascii="Times New Roman" w:eastAsia="宋体" w:hAnsi="Times New Roman" w:cstheme="majorEastAsia" w:hint="eastAsia"/>
          <w:color w:val="auto"/>
          <w:sz w:val="24"/>
          <w:szCs w:val="24"/>
          <w:highlight w:val="none"/>
        </w:rPr>
        <w:t>二、重点机房规划方案</w:t>
      </w:r>
      <w:bookmarkEnd w:id="40"/>
    </w:p>
    <w:p>
      <w:pPr>
        <w:spacing w:line="240" w:lineRule="auto"/>
        <w:ind w:left="0" w:firstLine="480"/>
        <w:rPr>
          <w:rFonts w:ascii="Times New Roman" w:eastAsia="宋体" w:hAnsi="Times New Roman" w:cs="宋体"/>
          <w:color w:val="auto"/>
          <w:sz w:val="24"/>
          <w:szCs w:val="24"/>
          <w:highlight w:val="none"/>
        </w:rPr>
      </w:pPr>
      <w:r>
        <w:rPr>
          <w:rFonts w:ascii="Times New Roman" w:eastAsia="宋体" w:hAnsi="Times New Roman" w:cs="宋体" w:hint="eastAsia"/>
          <w:color w:val="auto"/>
          <w:sz w:val="24"/>
          <w:szCs w:val="24"/>
          <w:highlight w:val="none"/>
        </w:rPr>
        <w:t>各电信企业新建重点机房的需求，统筹规划、联合建设、共建共享、节约机房面积、资源最优化，规划建设二类重点机房规划建设</w:t>
      </w:r>
      <w:r>
        <w:rPr>
          <w:rFonts w:ascii="Times New Roman" w:eastAsia="宋体" w:hAnsi="Times New Roman" w:cs="宋体"/>
          <w:color w:val="auto"/>
          <w:sz w:val="24"/>
          <w:szCs w:val="24"/>
          <w:highlight w:val="none"/>
        </w:rPr>
        <w:t>2</w:t>
      </w:r>
      <w:r>
        <w:rPr>
          <w:rFonts w:ascii="Times New Roman" w:eastAsia="宋体" w:hAnsi="Times New Roman" w:cs="宋体" w:hint="eastAsia"/>
          <w:color w:val="auto"/>
          <w:sz w:val="24"/>
          <w:szCs w:val="24"/>
          <w:highlight w:val="none"/>
        </w:rPr>
        <w:t>个，三类重点机房规划建设3个，四类重点机房规划建设</w:t>
      </w:r>
      <w:r>
        <w:rPr>
          <w:rFonts w:ascii="Times New Roman" w:eastAsia="宋体" w:hAnsi="Times New Roman" w:cs="宋体"/>
          <w:color w:val="auto"/>
          <w:sz w:val="24"/>
          <w:szCs w:val="24"/>
          <w:highlight w:val="none"/>
        </w:rPr>
        <w:t>52</w:t>
      </w:r>
      <w:r>
        <w:rPr>
          <w:rFonts w:ascii="Times New Roman" w:eastAsia="宋体" w:hAnsi="Times New Roman" w:cs="宋体" w:hint="eastAsia"/>
          <w:color w:val="auto"/>
          <w:sz w:val="24"/>
          <w:szCs w:val="24"/>
          <w:highlight w:val="none"/>
        </w:rPr>
        <w:t>个，</w:t>
      </w:r>
      <w:r>
        <w:rPr>
          <w:rFonts w:ascii="Times New Roman" w:eastAsia="宋体" w:hAnsi="Times New Roman" w:cs="宋体" w:hint="eastAsia"/>
          <w:color w:val="auto"/>
          <w:sz w:val="24"/>
          <w:szCs w:val="24"/>
          <w:highlight w:val="none"/>
          <w:lang w:val="en-US" w:eastAsia="zh-CN"/>
        </w:rPr>
        <w:t>重点机房不占用公共用地，采用租赁或者购买的方式进行建设。</w:t>
      </w:r>
      <w:r>
        <w:rPr>
          <w:rFonts w:ascii="Times New Roman" w:eastAsia="宋体" w:hAnsi="Times New Roman" w:cs="宋体" w:hint="eastAsia"/>
          <w:color w:val="auto"/>
          <w:sz w:val="24"/>
          <w:szCs w:val="24"/>
          <w:highlight w:val="none"/>
        </w:rPr>
        <w:t>重点机房各县区分布规划情况如下表：</w:t>
      </w:r>
    </w:p>
    <w:p>
      <w:pPr>
        <w:spacing w:line="240" w:lineRule="auto"/>
        <w:ind w:left="0" w:firstLine="422"/>
        <w:jc w:val="center"/>
        <w:rPr>
          <w:rFonts w:ascii="Times New Roman" w:eastAsia="宋体" w:hAnsi="Times New Roman" w:hint="eastAsia"/>
          <w:b/>
          <w:bCs/>
          <w:color w:val="auto"/>
          <w:szCs w:val="21"/>
          <w:highlight w:val="none"/>
        </w:rPr>
      </w:pPr>
      <w:r>
        <w:rPr>
          <w:rFonts w:ascii="Times New Roman" w:eastAsia="宋体" w:hAnsi="Times New Roman" w:hint="eastAsia"/>
          <w:b/>
          <w:bCs/>
          <w:color w:val="auto"/>
          <w:szCs w:val="21"/>
          <w:highlight w:val="none"/>
        </w:rPr>
        <w:t>表7</w:t>
      </w:r>
      <w:r>
        <w:rPr>
          <w:rFonts w:ascii="Times New Roman" w:eastAsia="宋体" w:hAnsi="Times New Roman"/>
          <w:b/>
          <w:bCs/>
          <w:color w:val="auto"/>
          <w:szCs w:val="21"/>
          <w:highlight w:val="none"/>
        </w:rPr>
        <w:t>-1</w:t>
      </w:r>
      <w:r>
        <w:rPr>
          <w:rFonts w:ascii="Times New Roman" w:eastAsia="宋体" w:hAnsi="Times New Roman" w:hint="eastAsia"/>
          <w:b/>
          <w:bCs/>
          <w:color w:val="auto"/>
          <w:szCs w:val="21"/>
          <w:highlight w:val="none"/>
        </w:rPr>
        <w:t>电信企业重点机房需求表</w:t>
      </w:r>
    </w:p>
    <w:tbl>
      <w:tblPr>
        <w:tblStyle w:val="TableNormal"/>
        <w:tblW w:w="7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127"/>
        <w:gridCol w:w="1115"/>
        <w:gridCol w:w="1141"/>
        <w:gridCol w:w="1092"/>
        <w:gridCol w:w="1165"/>
        <w:gridCol w:w="1068"/>
        <w:gridCol w:w="1189"/>
      </w:tblGrid>
      <w:tr>
        <w:tblPrEx>
          <w:tblW w:w="7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345"/>
          <w:jc w:val="center"/>
        </w:trPr>
        <w:tc>
          <w:tcPr>
            <w:tcW w:w="1127" w:type="dxa"/>
            <w:vMerge w:val="restart"/>
            <w:shd w:val="clear" w:color="auto" w:fill="auto"/>
            <w:noWrap/>
            <w:vAlign w:val="center"/>
          </w:tcPr>
          <w:p>
            <w:pPr>
              <w:spacing w:line="240" w:lineRule="auto"/>
              <w:ind w:left="0" w:firstLine="0" w:firstLineChars="0"/>
              <w:jc w:val="center"/>
              <w:rPr>
                <w:rFonts w:ascii="Times New Roman" w:eastAsia="宋体" w:hAnsi="Times New Roman" w:cs="Times New Roman"/>
                <w:b/>
                <w:bCs/>
                <w:color w:val="auto"/>
                <w:szCs w:val="21"/>
                <w:highlight w:val="none"/>
              </w:rPr>
            </w:pPr>
            <w:r>
              <w:rPr>
                <w:rFonts w:ascii="Times New Roman" w:eastAsia="宋体" w:hAnsi="Times New Roman" w:cs="Times New Roman" w:hint="eastAsia"/>
                <w:b/>
                <w:bCs/>
                <w:color w:val="auto"/>
                <w:szCs w:val="21"/>
                <w:highlight w:val="none"/>
              </w:rPr>
              <w:t>区县</w:t>
            </w:r>
          </w:p>
        </w:tc>
        <w:tc>
          <w:tcPr>
            <w:tcW w:w="2256" w:type="dxa"/>
            <w:gridSpan w:val="2"/>
            <w:shd w:val="clear" w:color="auto" w:fill="auto"/>
            <w:noWrap/>
            <w:vAlign w:val="center"/>
          </w:tcPr>
          <w:p>
            <w:pPr>
              <w:spacing w:line="240" w:lineRule="auto"/>
              <w:ind w:left="0" w:firstLine="0" w:firstLineChars="0"/>
              <w:jc w:val="center"/>
              <w:rPr>
                <w:rFonts w:ascii="Times New Roman" w:eastAsia="宋体" w:hAnsi="Times New Roman" w:cs="Times New Roman"/>
                <w:b/>
                <w:bCs/>
                <w:color w:val="auto"/>
                <w:szCs w:val="21"/>
                <w:highlight w:val="none"/>
              </w:rPr>
            </w:pPr>
            <w:r>
              <w:rPr>
                <w:rFonts w:ascii="Times New Roman" w:eastAsia="宋体" w:hAnsi="Times New Roman" w:cs="Times New Roman" w:hint="eastAsia"/>
                <w:b/>
                <w:bCs/>
                <w:color w:val="auto"/>
                <w:szCs w:val="21"/>
                <w:highlight w:val="none"/>
              </w:rPr>
              <w:t>二类重点机房数</w:t>
            </w:r>
          </w:p>
        </w:tc>
        <w:tc>
          <w:tcPr>
            <w:tcW w:w="2257" w:type="dxa"/>
            <w:gridSpan w:val="2"/>
            <w:shd w:val="clear" w:color="auto" w:fill="auto"/>
            <w:noWrap/>
            <w:vAlign w:val="center"/>
          </w:tcPr>
          <w:p>
            <w:pPr>
              <w:spacing w:line="240" w:lineRule="auto"/>
              <w:ind w:left="0" w:firstLine="0" w:firstLineChars="0"/>
              <w:jc w:val="center"/>
              <w:rPr>
                <w:rFonts w:ascii="Times New Roman" w:eastAsia="宋体" w:hAnsi="Times New Roman" w:cs="Times New Roman"/>
                <w:b/>
                <w:bCs/>
                <w:color w:val="auto"/>
                <w:szCs w:val="21"/>
                <w:highlight w:val="none"/>
              </w:rPr>
            </w:pPr>
            <w:r>
              <w:rPr>
                <w:rFonts w:ascii="Times New Roman" w:eastAsia="宋体" w:hAnsi="Times New Roman" w:cs="Times New Roman" w:hint="eastAsia"/>
                <w:b/>
                <w:bCs/>
                <w:color w:val="auto"/>
                <w:szCs w:val="21"/>
                <w:highlight w:val="none"/>
              </w:rPr>
              <w:t>三类重点机房数</w:t>
            </w:r>
          </w:p>
        </w:tc>
        <w:tc>
          <w:tcPr>
            <w:tcW w:w="2257" w:type="dxa"/>
            <w:gridSpan w:val="2"/>
            <w:shd w:val="clear" w:color="auto" w:fill="auto"/>
            <w:noWrap/>
            <w:vAlign w:val="center"/>
          </w:tcPr>
          <w:p>
            <w:pPr>
              <w:spacing w:line="240" w:lineRule="auto"/>
              <w:ind w:left="0" w:firstLine="0" w:firstLineChars="0"/>
              <w:jc w:val="center"/>
              <w:rPr>
                <w:rFonts w:ascii="Times New Roman" w:eastAsia="宋体" w:hAnsi="Times New Roman" w:cs="Times New Roman"/>
                <w:b/>
                <w:bCs/>
                <w:color w:val="auto"/>
                <w:szCs w:val="21"/>
                <w:highlight w:val="none"/>
              </w:rPr>
            </w:pPr>
            <w:r>
              <w:rPr>
                <w:rFonts w:ascii="Times New Roman" w:eastAsia="宋体" w:hAnsi="Times New Roman" w:cs="Times New Roman" w:hint="eastAsia"/>
                <w:b/>
                <w:bCs/>
                <w:color w:val="auto"/>
                <w:szCs w:val="21"/>
                <w:highlight w:val="none"/>
              </w:rPr>
              <w:t>四类重点机房数</w:t>
            </w:r>
          </w:p>
        </w:tc>
      </w:tr>
      <w:tr>
        <w:tblPrEx>
          <w:tblW w:w="7897" w:type="dxa"/>
          <w:jc w:val="center"/>
          <w:tblLayout w:type="fixed"/>
          <w:tblCellMar>
            <w:top w:w="0" w:type="dxa"/>
            <w:left w:w="108" w:type="dxa"/>
            <w:bottom w:w="0" w:type="dxa"/>
            <w:right w:w="108" w:type="dxa"/>
          </w:tblCellMar>
        </w:tblPrEx>
        <w:trPr>
          <w:trHeight w:val="1036"/>
          <w:jc w:val="center"/>
        </w:trPr>
        <w:tc>
          <w:tcPr>
            <w:tcW w:w="1127" w:type="dxa"/>
            <w:vMerge/>
            <w:vAlign w:val="center"/>
          </w:tcPr>
          <w:p>
            <w:pPr>
              <w:spacing w:line="240" w:lineRule="auto"/>
              <w:ind w:left="0" w:firstLine="0" w:firstLineChars="0"/>
              <w:jc w:val="center"/>
              <w:rPr>
                <w:rFonts w:ascii="Times New Roman" w:eastAsia="宋体" w:hAnsi="Times New Roman" w:cs="Times New Roman"/>
                <w:b/>
                <w:bCs/>
                <w:color w:val="auto"/>
                <w:szCs w:val="21"/>
                <w:highlight w:val="none"/>
              </w:rPr>
            </w:pPr>
          </w:p>
        </w:tc>
        <w:tc>
          <w:tcPr>
            <w:tcW w:w="1115" w:type="dxa"/>
            <w:shd w:val="clear" w:color="auto" w:fill="auto"/>
            <w:vAlign w:val="center"/>
          </w:tcPr>
          <w:p>
            <w:pPr>
              <w:spacing w:line="240" w:lineRule="auto"/>
              <w:ind w:left="0" w:firstLine="0" w:firstLineChars="0"/>
              <w:jc w:val="center"/>
              <w:rPr>
                <w:rFonts w:ascii="Times New Roman" w:eastAsia="宋体" w:hAnsi="Times New Roman" w:cs="Times New Roman"/>
                <w:b/>
                <w:bCs/>
                <w:color w:val="auto"/>
                <w:szCs w:val="21"/>
                <w:highlight w:val="none"/>
              </w:rPr>
            </w:pPr>
            <w:r>
              <w:rPr>
                <w:rFonts w:ascii="Times New Roman" w:eastAsia="宋体" w:hAnsi="Times New Roman" w:cs="Times New Roman" w:hint="eastAsia"/>
                <w:b/>
                <w:bCs/>
                <w:color w:val="auto"/>
                <w:szCs w:val="21"/>
                <w:highlight w:val="none"/>
              </w:rPr>
              <w:t>重点机房数（个）</w:t>
            </w:r>
          </w:p>
        </w:tc>
        <w:tc>
          <w:tcPr>
            <w:tcW w:w="1141" w:type="dxa"/>
            <w:shd w:val="clear" w:color="auto" w:fill="auto"/>
            <w:vAlign w:val="center"/>
          </w:tcPr>
          <w:p>
            <w:pPr>
              <w:spacing w:line="240" w:lineRule="auto"/>
              <w:ind w:left="0" w:firstLine="0" w:firstLineChars="0"/>
              <w:jc w:val="center"/>
              <w:rPr>
                <w:rFonts w:ascii="Times New Roman" w:eastAsia="宋体" w:hAnsi="Times New Roman" w:cs="Times New Roman"/>
                <w:b/>
                <w:bCs/>
                <w:color w:val="auto"/>
                <w:szCs w:val="21"/>
                <w:highlight w:val="none"/>
              </w:rPr>
            </w:pPr>
            <w:r>
              <w:rPr>
                <w:rFonts w:ascii="Times New Roman" w:eastAsia="宋体" w:hAnsi="Times New Roman" w:cs="Times New Roman" w:hint="eastAsia"/>
                <w:b/>
                <w:bCs/>
                <w:color w:val="auto"/>
                <w:szCs w:val="21"/>
                <w:highlight w:val="none"/>
              </w:rPr>
              <w:t>重点机房面积（m²）</w:t>
            </w:r>
          </w:p>
        </w:tc>
        <w:tc>
          <w:tcPr>
            <w:tcW w:w="1092" w:type="dxa"/>
            <w:shd w:val="clear" w:color="auto" w:fill="auto"/>
            <w:vAlign w:val="center"/>
          </w:tcPr>
          <w:p>
            <w:pPr>
              <w:spacing w:line="240" w:lineRule="auto"/>
              <w:ind w:left="0" w:firstLine="0" w:firstLineChars="0"/>
              <w:jc w:val="center"/>
              <w:rPr>
                <w:rFonts w:ascii="Times New Roman" w:eastAsia="宋体" w:hAnsi="Times New Roman" w:cs="Times New Roman"/>
                <w:b/>
                <w:bCs/>
                <w:color w:val="auto"/>
                <w:szCs w:val="21"/>
                <w:highlight w:val="none"/>
              </w:rPr>
            </w:pPr>
            <w:r>
              <w:rPr>
                <w:rFonts w:ascii="Times New Roman" w:eastAsia="宋体" w:hAnsi="Times New Roman" w:cs="Times New Roman" w:hint="eastAsia"/>
                <w:b/>
                <w:bCs/>
                <w:color w:val="auto"/>
                <w:szCs w:val="21"/>
                <w:highlight w:val="none"/>
              </w:rPr>
              <w:t>重点机房数（个）</w:t>
            </w:r>
          </w:p>
        </w:tc>
        <w:tc>
          <w:tcPr>
            <w:tcW w:w="1165" w:type="dxa"/>
            <w:shd w:val="clear" w:color="auto" w:fill="auto"/>
            <w:vAlign w:val="center"/>
          </w:tcPr>
          <w:p>
            <w:pPr>
              <w:spacing w:line="240" w:lineRule="auto"/>
              <w:ind w:left="0" w:firstLine="0" w:firstLineChars="0"/>
              <w:jc w:val="center"/>
              <w:rPr>
                <w:rFonts w:ascii="Times New Roman" w:eastAsia="宋体" w:hAnsi="Times New Roman" w:cs="Times New Roman"/>
                <w:b/>
                <w:bCs/>
                <w:color w:val="auto"/>
                <w:szCs w:val="21"/>
                <w:highlight w:val="none"/>
              </w:rPr>
            </w:pPr>
            <w:r>
              <w:rPr>
                <w:rFonts w:ascii="Times New Roman" w:eastAsia="宋体" w:hAnsi="Times New Roman" w:cs="Times New Roman" w:hint="eastAsia"/>
                <w:b/>
                <w:bCs/>
                <w:color w:val="auto"/>
                <w:szCs w:val="21"/>
                <w:highlight w:val="none"/>
              </w:rPr>
              <w:t>重点机房面积（m²）</w:t>
            </w:r>
          </w:p>
        </w:tc>
        <w:tc>
          <w:tcPr>
            <w:tcW w:w="1068" w:type="dxa"/>
            <w:shd w:val="clear" w:color="auto" w:fill="auto"/>
            <w:vAlign w:val="center"/>
          </w:tcPr>
          <w:p>
            <w:pPr>
              <w:spacing w:line="240" w:lineRule="auto"/>
              <w:ind w:left="0" w:firstLine="0" w:firstLineChars="0"/>
              <w:jc w:val="center"/>
              <w:rPr>
                <w:rFonts w:ascii="Times New Roman" w:eastAsia="宋体" w:hAnsi="Times New Roman" w:cs="Times New Roman"/>
                <w:b/>
                <w:bCs/>
                <w:color w:val="auto"/>
                <w:szCs w:val="21"/>
                <w:highlight w:val="none"/>
              </w:rPr>
            </w:pPr>
            <w:r>
              <w:rPr>
                <w:rFonts w:ascii="Times New Roman" w:eastAsia="宋体" w:hAnsi="Times New Roman" w:cs="Times New Roman" w:hint="eastAsia"/>
                <w:b/>
                <w:bCs/>
                <w:color w:val="auto"/>
                <w:szCs w:val="21"/>
                <w:highlight w:val="none"/>
              </w:rPr>
              <w:t>重点机房数（个）</w:t>
            </w:r>
          </w:p>
        </w:tc>
        <w:tc>
          <w:tcPr>
            <w:tcW w:w="1189" w:type="dxa"/>
            <w:shd w:val="clear" w:color="auto" w:fill="auto"/>
            <w:vAlign w:val="center"/>
          </w:tcPr>
          <w:p>
            <w:pPr>
              <w:spacing w:line="240" w:lineRule="auto"/>
              <w:ind w:left="0" w:firstLine="0" w:firstLineChars="0"/>
              <w:jc w:val="center"/>
              <w:rPr>
                <w:rFonts w:ascii="Times New Roman" w:eastAsia="宋体" w:hAnsi="Times New Roman" w:cs="Times New Roman"/>
                <w:b/>
                <w:bCs/>
                <w:color w:val="auto"/>
                <w:szCs w:val="21"/>
                <w:highlight w:val="none"/>
              </w:rPr>
            </w:pPr>
            <w:r>
              <w:rPr>
                <w:rFonts w:ascii="Times New Roman" w:eastAsia="宋体" w:hAnsi="Times New Roman" w:cs="Times New Roman" w:hint="eastAsia"/>
                <w:b/>
                <w:bCs/>
                <w:color w:val="auto"/>
                <w:szCs w:val="21"/>
                <w:highlight w:val="none"/>
              </w:rPr>
              <w:t>重点机房面积（m²）</w:t>
            </w:r>
          </w:p>
        </w:tc>
      </w:tr>
      <w:tr>
        <w:tblPrEx>
          <w:tblW w:w="7897" w:type="dxa"/>
          <w:jc w:val="center"/>
          <w:tblLayout w:type="fixed"/>
          <w:tblCellMar>
            <w:top w:w="0" w:type="dxa"/>
            <w:left w:w="108" w:type="dxa"/>
            <w:bottom w:w="0" w:type="dxa"/>
            <w:right w:w="108" w:type="dxa"/>
          </w:tblCellMar>
        </w:tblPrEx>
        <w:trPr>
          <w:trHeight w:val="345"/>
          <w:jc w:val="center"/>
        </w:trPr>
        <w:tc>
          <w:tcPr>
            <w:tcW w:w="1127"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玉州区</w:t>
            </w:r>
          </w:p>
        </w:tc>
        <w:tc>
          <w:tcPr>
            <w:tcW w:w="1115"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2</w:t>
            </w:r>
          </w:p>
        </w:tc>
        <w:tc>
          <w:tcPr>
            <w:tcW w:w="1141" w:type="dxa"/>
            <w:shd w:val="clear" w:color="auto" w:fill="auto"/>
            <w:noWrap/>
            <w:vAlign w:val="center"/>
          </w:tcPr>
          <w:p>
            <w:pPr>
              <w:spacing w:line="240" w:lineRule="auto"/>
              <w:ind w:left="0" w:firstLine="0" w:firstLineChars="0"/>
              <w:jc w:val="center"/>
              <w:rPr>
                <w:rFonts w:ascii="Times New Roman" w:eastAsia="宋体" w:hAnsi="Times New Roman" w:cs="Times New Roman" w:hint="default"/>
                <w:color w:val="auto"/>
                <w:szCs w:val="21"/>
                <w:highlight w:val="none"/>
                <w:lang w:val="en-US" w:eastAsia="zh-CN"/>
              </w:rPr>
            </w:pPr>
            <w:r>
              <w:rPr>
                <w:rFonts w:ascii="Times New Roman" w:eastAsia="宋体" w:hAnsi="Times New Roman" w:cs="Times New Roman" w:hint="eastAsia"/>
                <w:color w:val="auto"/>
                <w:szCs w:val="21"/>
                <w:highlight w:val="none"/>
                <w:lang w:val="en-US" w:eastAsia="zh-CN"/>
              </w:rPr>
              <w:t>120</w:t>
            </w:r>
          </w:p>
        </w:tc>
        <w:tc>
          <w:tcPr>
            <w:tcW w:w="1092"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0</w:t>
            </w:r>
          </w:p>
        </w:tc>
        <w:tc>
          <w:tcPr>
            <w:tcW w:w="1165"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0</w:t>
            </w:r>
          </w:p>
        </w:tc>
        <w:tc>
          <w:tcPr>
            <w:tcW w:w="1068"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9</w:t>
            </w:r>
          </w:p>
        </w:tc>
        <w:tc>
          <w:tcPr>
            <w:tcW w:w="1189"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lang w:val="en-US" w:eastAsia="zh-CN"/>
              </w:rPr>
              <w:t>1</w:t>
            </w:r>
            <w:r>
              <w:rPr>
                <w:rFonts w:ascii="Times New Roman" w:eastAsia="宋体" w:hAnsi="Times New Roman" w:cs="Times New Roman" w:hint="eastAsia"/>
                <w:color w:val="auto"/>
                <w:szCs w:val="21"/>
                <w:highlight w:val="none"/>
              </w:rPr>
              <w:t>00</w:t>
            </w:r>
          </w:p>
        </w:tc>
      </w:tr>
      <w:tr>
        <w:tblPrEx>
          <w:tblW w:w="7897" w:type="dxa"/>
          <w:jc w:val="center"/>
          <w:tblLayout w:type="fixed"/>
          <w:tblCellMar>
            <w:top w:w="0" w:type="dxa"/>
            <w:left w:w="108" w:type="dxa"/>
            <w:bottom w:w="0" w:type="dxa"/>
            <w:right w:w="108" w:type="dxa"/>
          </w:tblCellMar>
        </w:tblPrEx>
        <w:trPr>
          <w:trHeight w:val="345"/>
          <w:jc w:val="center"/>
        </w:trPr>
        <w:tc>
          <w:tcPr>
            <w:tcW w:w="1127"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福绵区</w:t>
            </w:r>
          </w:p>
        </w:tc>
        <w:tc>
          <w:tcPr>
            <w:tcW w:w="1115"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0</w:t>
            </w:r>
          </w:p>
        </w:tc>
        <w:tc>
          <w:tcPr>
            <w:tcW w:w="1141"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0</w:t>
            </w:r>
          </w:p>
        </w:tc>
        <w:tc>
          <w:tcPr>
            <w:tcW w:w="1092"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0</w:t>
            </w:r>
          </w:p>
        </w:tc>
        <w:tc>
          <w:tcPr>
            <w:tcW w:w="1165"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0</w:t>
            </w:r>
          </w:p>
        </w:tc>
        <w:tc>
          <w:tcPr>
            <w:tcW w:w="1068"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3</w:t>
            </w:r>
          </w:p>
        </w:tc>
        <w:tc>
          <w:tcPr>
            <w:tcW w:w="1189"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lang w:val="en-US" w:eastAsia="zh-CN"/>
              </w:rPr>
              <w:t>1</w:t>
            </w:r>
            <w:r>
              <w:rPr>
                <w:rFonts w:ascii="Times New Roman" w:eastAsia="宋体" w:hAnsi="Times New Roman" w:cs="Times New Roman" w:hint="eastAsia"/>
                <w:color w:val="auto"/>
                <w:szCs w:val="21"/>
                <w:highlight w:val="none"/>
              </w:rPr>
              <w:t>00</w:t>
            </w:r>
          </w:p>
        </w:tc>
      </w:tr>
      <w:tr>
        <w:tblPrEx>
          <w:tblW w:w="7897" w:type="dxa"/>
          <w:jc w:val="center"/>
          <w:tblLayout w:type="fixed"/>
          <w:tblCellMar>
            <w:top w:w="0" w:type="dxa"/>
            <w:left w:w="108" w:type="dxa"/>
            <w:bottom w:w="0" w:type="dxa"/>
            <w:right w:w="108" w:type="dxa"/>
          </w:tblCellMar>
        </w:tblPrEx>
        <w:trPr>
          <w:trHeight w:val="345"/>
          <w:jc w:val="center"/>
        </w:trPr>
        <w:tc>
          <w:tcPr>
            <w:tcW w:w="1127"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北流市</w:t>
            </w:r>
          </w:p>
        </w:tc>
        <w:tc>
          <w:tcPr>
            <w:tcW w:w="1115"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0</w:t>
            </w:r>
          </w:p>
        </w:tc>
        <w:tc>
          <w:tcPr>
            <w:tcW w:w="1141"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0</w:t>
            </w:r>
          </w:p>
        </w:tc>
        <w:tc>
          <w:tcPr>
            <w:tcW w:w="1092"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0</w:t>
            </w:r>
          </w:p>
        </w:tc>
        <w:tc>
          <w:tcPr>
            <w:tcW w:w="1165"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0</w:t>
            </w:r>
          </w:p>
        </w:tc>
        <w:tc>
          <w:tcPr>
            <w:tcW w:w="1068"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7</w:t>
            </w:r>
          </w:p>
        </w:tc>
        <w:tc>
          <w:tcPr>
            <w:tcW w:w="1189"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lang w:val="en-US" w:eastAsia="zh-CN"/>
              </w:rPr>
              <w:t>1</w:t>
            </w:r>
            <w:r>
              <w:rPr>
                <w:rFonts w:ascii="Times New Roman" w:eastAsia="宋体" w:hAnsi="Times New Roman" w:cs="Times New Roman" w:hint="eastAsia"/>
                <w:color w:val="auto"/>
                <w:szCs w:val="21"/>
                <w:highlight w:val="none"/>
              </w:rPr>
              <w:t>00</w:t>
            </w:r>
          </w:p>
        </w:tc>
      </w:tr>
      <w:tr>
        <w:tblPrEx>
          <w:tblW w:w="7897" w:type="dxa"/>
          <w:jc w:val="center"/>
          <w:tblLayout w:type="fixed"/>
          <w:tblCellMar>
            <w:top w:w="0" w:type="dxa"/>
            <w:left w:w="108" w:type="dxa"/>
            <w:bottom w:w="0" w:type="dxa"/>
            <w:right w:w="108" w:type="dxa"/>
          </w:tblCellMar>
        </w:tblPrEx>
        <w:trPr>
          <w:trHeight w:val="345"/>
          <w:jc w:val="center"/>
        </w:trPr>
        <w:tc>
          <w:tcPr>
            <w:tcW w:w="1127"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兴业县</w:t>
            </w:r>
          </w:p>
        </w:tc>
        <w:tc>
          <w:tcPr>
            <w:tcW w:w="1115"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0</w:t>
            </w:r>
          </w:p>
        </w:tc>
        <w:tc>
          <w:tcPr>
            <w:tcW w:w="1141"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0</w:t>
            </w:r>
          </w:p>
        </w:tc>
        <w:tc>
          <w:tcPr>
            <w:tcW w:w="1092"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0</w:t>
            </w:r>
          </w:p>
        </w:tc>
        <w:tc>
          <w:tcPr>
            <w:tcW w:w="1165"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0</w:t>
            </w:r>
          </w:p>
        </w:tc>
        <w:tc>
          <w:tcPr>
            <w:tcW w:w="1068"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8</w:t>
            </w:r>
          </w:p>
        </w:tc>
        <w:tc>
          <w:tcPr>
            <w:tcW w:w="1189"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lang w:val="en-US" w:eastAsia="zh-CN"/>
              </w:rPr>
              <w:t>1</w:t>
            </w:r>
            <w:r>
              <w:rPr>
                <w:rFonts w:ascii="Times New Roman" w:eastAsia="宋体" w:hAnsi="Times New Roman" w:cs="Times New Roman" w:hint="eastAsia"/>
                <w:color w:val="auto"/>
                <w:szCs w:val="21"/>
                <w:highlight w:val="none"/>
              </w:rPr>
              <w:t>00</w:t>
            </w:r>
          </w:p>
        </w:tc>
      </w:tr>
      <w:tr>
        <w:tblPrEx>
          <w:tblW w:w="7897" w:type="dxa"/>
          <w:jc w:val="center"/>
          <w:tblLayout w:type="fixed"/>
          <w:tblCellMar>
            <w:top w:w="0" w:type="dxa"/>
            <w:left w:w="108" w:type="dxa"/>
            <w:bottom w:w="0" w:type="dxa"/>
            <w:right w:w="108" w:type="dxa"/>
          </w:tblCellMar>
        </w:tblPrEx>
        <w:trPr>
          <w:trHeight w:val="345"/>
          <w:jc w:val="center"/>
        </w:trPr>
        <w:tc>
          <w:tcPr>
            <w:tcW w:w="1127"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容县</w:t>
            </w:r>
          </w:p>
        </w:tc>
        <w:tc>
          <w:tcPr>
            <w:tcW w:w="1115"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0</w:t>
            </w:r>
          </w:p>
        </w:tc>
        <w:tc>
          <w:tcPr>
            <w:tcW w:w="1141"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0</w:t>
            </w:r>
          </w:p>
        </w:tc>
        <w:tc>
          <w:tcPr>
            <w:tcW w:w="1092"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0</w:t>
            </w:r>
          </w:p>
        </w:tc>
        <w:tc>
          <w:tcPr>
            <w:tcW w:w="1165"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0</w:t>
            </w:r>
          </w:p>
        </w:tc>
        <w:tc>
          <w:tcPr>
            <w:tcW w:w="1068"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5</w:t>
            </w:r>
          </w:p>
        </w:tc>
        <w:tc>
          <w:tcPr>
            <w:tcW w:w="1189"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lang w:val="en-US" w:eastAsia="zh-CN"/>
              </w:rPr>
              <w:t>1</w:t>
            </w:r>
            <w:r>
              <w:rPr>
                <w:rFonts w:ascii="Times New Roman" w:eastAsia="宋体" w:hAnsi="Times New Roman" w:cs="Times New Roman" w:hint="eastAsia"/>
                <w:color w:val="auto"/>
                <w:szCs w:val="21"/>
                <w:highlight w:val="none"/>
              </w:rPr>
              <w:t>00</w:t>
            </w:r>
          </w:p>
        </w:tc>
      </w:tr>
      <w:tr>
        <w:tblPrEx>
          <w:tblW w:w="7897" w:type="dxa"/>
          <w:jc w:val="center"/>
          <w:tblLayout w:type="fixed"/>
          <w:tblCellMar>
            <w:top w:w="0" w:type="dxa"/>
            <w:left w:w="108" w:type="dxa"/>
            <w:bottom w:w="0" w:type="dxa"/>
            <w:right w:w="108" w:type="dxa"/>
          </w:tblCellMar>
        </w:tblPrEx>
        <w:trPr>
          <w:trHeight w:val="345"/>
          <w:jc w:val="center"/>
        </w:trPr>
        <w:tc>
          <w:tcPr>
            <w:tcW w:w="1127"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陆川县</w:t>
            </w:r>
          </w:p>
        </w:tc>
        <w:tc>
          <w:tcPr>
            <w:tcW w:w="1115"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0</w:t>
            </w:r>
          </w:p>
        </w:tc>
        <w:tc>
          <w:tcPr>
            <w:tcW w:w="1141"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0</w:t>
            </w:r>
          </w:p>
        </w:tc>
        <w:tc>
          <w:tcPr>
            <w:tcW w:w="1092"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2</w:t>
            </w:r>
          </w:p>
        </w:tc>
        <w:tc>
          <w:tcPr>
            <w:tcW w:w="1165"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lang w:val="en-US" w:eastAsia="zh-CN"/>
              </w:rPr>
              <w:t>1</w:t>
            </w:r>
            <w:r>
              <w:rPr>
                <w:rFonts w:ascii="Times New Roman" w:eastAsia="宋体" w:hAnsi="Times New Roman" w:cs="Times New Roman" w:hint="eastAsia"/>
                <w:color w:val="auto"/>
                <w:szCs w:val="21"/>
                <w:highlight w:val="none"/>
              </w:rPr>
              <w:t>00</w:t>
            </w:r>
          </w:p>
        </w:tc>
        <w:tc>
          <w:tcPr>
            <w:tcW w:w="1068"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5</w:t>
            </w:r>
          </w:p>
        </w:tc>
        <w:tc>
          <w:tcPr>
            <w:tcW w:w="1189"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lang w:val="en-US" w:eastAsia="zh-CN"/>
              </w:rPr>
              <w:t>1</w:t>
            </w:r>
            <w:r>
              <w:rPr>
                <w:rFonts w:ascii="Times New Roman" w:eastAsia="宋体" w:hAnsi="Times New Roman" w:cs="Times New Roman" w:hint="eastAsia"/>
                <w:color w:val="auto"/>
                <w:szCs w:val="21"/>
                <w:highlight w:val="none"/>
              </w:rPr>
              <w:t>00</w:t>
            </w:r>
          </w:p>
        </w:tc>
      </w:tr>
      <w:tr>
        <w:tblPrEx>
          <w:tblW w:w="7897" w:type="dxa"/>
          <w:jc w:val="center"/>
          <w:tblLayout w:type="fixed"/>
          <w:tblCellMar>
            <w:top w:w="0" w:type="dxa"/>
            <w:left w:w="108" w:type="dxa"/>
            <w:bottom w:w="0" w:type="dxa"/>
            <w:right w:w="108" w:type="dxa"/>
          </w:tblCellMar>
        </w:tblPrEx>
        <w:trPr>
          <w:trHeight w:val="345"/>
          <w:jc w:val="center"/>
        </w:trPr>
        <w:tc>
          <w:tcPr>
            <w:tcW w:w="1127"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博白县</w:t>
            </w:r>
          </w:p>
        </w:tc>
        <w:tc>
          <w:tcPr>
            <w:tcW w:w="1115"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0</w:t>
            </w:r>
          </w:p>
        </w:tc>
        <w:tc>
          <w:tcPr>
            <w:tcW w:w="1141"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0</w:t>
            </w:r>
          </w:p>
        </w:tc>
        <w:tc>
          <w:tcPr>
            <w:tcW w:w="1092"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1</w:t>
            </w:r>
          </w:p>
        </w:tc>
        <w:tc>
          <w:tcPr>
            <w:tcW w:w="1165"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100</w:t>
            </w:r>
          </w:p>
        </w:tc>
        <w:tc>
          <w:tcPr>
            <w:tcW w:w="1068"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15</w:t>
            </w:r>
          </w:p>
        </w:tc>
        <w:tc>
          <w:tcPr>
            <w:tcW w:w="1189"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lang w:val="en-US" w:eastAsia="zh-CN"/>
              </w:rPr>
              <w:t>1</w:t>
            </w:r>
            <w:r>
              <w:rPr>
                <w:rFonts w:ascii="Times New Roman" w:eastAsia="宋体" w:hAnsi="Times New Roman" w:cs="Times New Roman" w:hint="eastAsia"/>
                <w:color w:val="auto"/>
                <w:szCs w:val="21"/>
                <w:highlight w:val="none"/>
              </w:rPr>
              <w:t>00</w:t>
            </w:r>
          </w:p>
        </w:tc>
      </w:tr>
      <w:tr>
        <w:tblPrEx>
          <w:tblW w:w="7897" w:type="dxa"/>
          <w:jc w:val="center"/>
          <w:tblLayout w:type="fixed"/>
          <w:tblCellMar>
            <w:top w:w="0" w:type="dxa"/>
            <w:left w:w="108" w:type="dxa"/>
            <w:bottom w:w="0" w:type="dxa"/>
            <w:right w:w="108" w:type="dxa"/>
          </w:tblCellMar>
        </w:tblPrEx>
        <w:trPr>
          <w:trHeight w:val="345"/>
          <w:jc w:val="center"/>
        </w:trPr>
        <w:tc>
          <w:tcPr>
            <w:tcW w:w="1127"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合计</w:t>
            </w:r>
          </w:p>
        </w:tc>
        <w:tc>
          <w:tcPr>
            <w:tcW w:w="1115"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2</w:t>
            </w:r>
          </w:p>
        </w:tc>
        <w:tc>
          <w:tcPr>
            <w:tcW w:w="1141" w:type="dxa"/>
            <w:shd w:val="clear" w:color="auto" w:fill="auto"/>
            <w:noWrap/>
            <w:vAlign w:val="center"/>
          </w:tcPr>
          <w:p>
            <w:pPr>
              <w:spacing w:line="240" w:lineRule="auto"/>
              <w:ind w:left="0" w:firstLine="0" w:firstLineChars="0"/>
              <w:jc w:val="center"/>
              <w:rPr>
                <w:rFonts w:ascii="Times New Roman" w:eastAsia="宋体" w:hAnsi="Times New Roman" w:cs="Times New Roman" w:hint="default"/>
                <w:color w:val="auto"/>
                <w:szCs w:val="21"/>
                <w:highlight w:val="none"/>
                <w:lang w:val="en-US" w:eastAsia="zh-CN"/>
              </w:rPr>
            </w:pPr>
            <w:r>
              <w:rPr>
                <w:rFonts w:ascii="Times New Roman" w:eastAsia="宋体" w:hAnsi="Times New Roman" w:cs="Times New Roman" w:hint="eastAsia"/>
                <w:color w:val="auto"/>
                <w:szCs w:val="21"/>
                <w:highlight w:val="none"/>
                <w:lang w:val="en-US" w:eastAsia="zh-CN"/>
              </w:rPr>
              <w:t>240</w:t>
            </w:r>
          </w:p>
        </w:tc>
        <w:tc>
          <w:tcPr>
            <w:tcW w:w="1092"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3</w:t>
            </w:r>
          </w:p>
        </w:tc>
        <w:tc>
          <w:tcPr>
            <w:tcW w:w="1165"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300</w:t>
            </w:r>
          </w:p>
        </w:tc>
        <w:tc>
          <w:tcPr>
            <w:tcW w:w="1068"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52</w:t>
            </w:r>
          </w:p>
        </w:tc>
        <w:tc>
          <w:tcPr>
            <w:tcW w:w="1189" w:type="dxa"/>
            <w:shd w:val="clear" w:color="auto" w:fill="auto"/>
            <w:noWrap/>
            <w:vAlign w:val="center"/>
          </w:tcPr>
          <w:p>
            <w:pPr>
              <w:spacing w:line="240" w:lineRule="auto"/>
              <w:ind w:left="0" w:firstLine="0" w:firstLineChars="0"/>
              <w:jc w:val="center"/>
              <w:rPr>
                <w:rFonts w:ascii="Times New Roman" w:eastAsia="宋体" w:hAnsi="Times New Roman" w:cs="Times New Roman"/>
                <w:color w:val="auto"/>
                <w:szCs w:val="21"/>
                <w:highlight w:val="none"/>
              </w:rPr>
            </w:pPr>
            <w:r>
              <w:rPr>
                <w:rFonts w:ascii="Times New Roman" w:eastAsia="宋体" w:hAnsi="Times New Roman" w:cs="Times New Roman" w:hint="eastAsia"/>
                <w:color w:val="auto"/>
                <w:szCs w:val="21"/>
                <w:highlight w:val="none"/>
              </w:rPr>
              <w:t>5200</w:t>
            </w:r>
          </w:p>
        </w:tc>
      </w:tr>
    </w:tbl>
    <w:p>
      <w:pPr>
        <w:spacing w:line="240" w:lineRule="auto"/>
        <w:ind w:left="0" w:firstLine="422"/>
        <w:jc w:val="center"/>
        <w:rPr>
          <w:rFonts w:ascii="Times New Roman" w:eastAsia="宋体" w:hAnsi="Times New Roman" w:hint="eastAsia"/>
          <w:b/>
          <w:bCs/>
          <w:color w:val="auto"/>
          <w:szCs w:val="21"/>
          <w:highlight w:val="none"/>
        </w:rPr>
      </w:pPr>
    </w:p>
    <w:p>
      <w:pPr>
        <w:spacing w:line="240" w:lineRule="auto"/>
        <w:ind w:left="0" w:firstLine="420"/>
        <w:rPr>
          <w:rFonts w:ascii="Times New Roman" w:eastAsia="宋体" w:hAnsi="Times New Roman" w:cs="微软雅黑"/>
          <w:color w:val="auto"/>
          <w:kern w:val="0"/>
          <w:szCs w:val="21"/>
          <w:highlight w:val="none"/>
        </w:rPr>
      </w:pPr>
    </w:p>
    <w:p>
      <w:pPr>
        <w:spacing w:line="240" w:lineRule="auto"/>
        <w:ind w:left="0" w:firstLine="640"/>
        <w:rPr>
          <w:rFonts w:ascii="Times New Roman" w:eastAsia="宋体" w:hAnsi="Times New Roman"/>
          <w:color w:val="auto"/>
          <w:sz w:val="32"/>
          <w:szCs w:val="32"/>
          <w:highlight w:val="none"/>
        </w:rPr>
      </w:pPr>
      <w:r>
        <w:rPr>
          <w:rFonts w:ascii="Times New Roman" w:eastAsia="宋体" w:hAnsi="Times New Roman"/>
          <w:color w:val="auto"/>
          <w:sz w:val="32"/>
          <w:szCs w:val="32"/>
          <w:highlight w:val="none"/>
        </w:rPr>
        <w:br w:type="page"/>
      </w:r>
    </w:p>
    <w:p>
      <w:pPr>
        <w:pStyle w:val="Heading2"/>
        <w:spacing w:before="260" w:after="260" w:line="240" w:lineRule="auto"/>
        <w:ind w:left="0" w:firstLine="643"/>
        <w:rPr>
          <w:rFonts w:ascii="Times New Roman" w:eastAsia="宋体" w:hAnsi="Times New Roman"/>
          <w:color w:val="auto"/>
          <w:sz w:val="32"/>
          <w:szCs w:val="32"/>
          <w:highlight w:val="none"/>
        </w:rPr>
      </w:pPr>
      <w:bookmarkStart w:id="41" w:name="_Toc22194"/>
      <w:r>
        <w:rPr>
          <w:rFonts w:ascii="Times New Roman" w:eastAsia="宋体" w:hAnsi="Times New Roman" w:hint="eastAsia"/>
          <w:color w:val="auto"/>
          <w:sz w:val="32"/>
          <w:szCs w:val="32"/>
          <w:highlight w:val="none"/>
        </w:rPr>
        <w:t>第八章 传输管道基础设施规划</w:t>
      </w:r>
      <w:bookmarkEnd w:id="41"/>
    </w:p>
    <w:p>
      <w:pPr>
        <w:pStyle w:val="Heading3"/>
        <w:spacing w:line="240" w:lineRule="auto"/>
        <w:ind w:left="0" w:firstLine="482"/>
        <w:rPr>
          <w:rFonts w:ascii="Times New Roman" w:eastAsia="宋体" w:hAnsi="Times New Roman" w:cstheme="majorEastAsia"/>
          <w:color w:val="auto"/>
          <w:sz w:val="24"/>
          <w:szCs w:val="24"/>
          <w:highlight w:val="none"/>
        </w:rPr>
      </w:pPr>
      <w:bookmarkStart w:id="42" w:name="_Toc2960"/>
      <w:r>
        <w:rPr>
          <w:rFonts w:ascii="Times New Roman" w:eastAsia="宋体" w:hAnsi="Times New Roman" w:cstheme="majorEastAsia" w:hint="eastAsia"/>
          <w:color w:val="auto"/>
          <w:sz w:val="24"/>
          <w:szCs w:val="24"/>
          <w:highlight w:val="none"/>
        </w:rPr>
        <w:t>一、传输管道规划原则</w:t>
      </w:r>
      <w:bookmarkEnd w:id="42"/>
    </w:p>
    <w:p>
      <w:pPr>
        <w:spacing w:line="240" w:lineRule="auto"/>
        <w:ind w:left="0" w:firstLine="206" w:firstLineChars="98"/>
        <w:rPr>
          <w:rFonts w:ascii="Times New Roman" w:eastAsia="宋体" w:hAnsi="Times New Roman"/>
          <w:bCs/>
          <w:color w:val="auto"/>
          <w:sz w:val="24"/>
          <w:szCs w:val="24"/>
          <w:highlight w:val="none"/>
        </w:rPr>
      </w:pPr>
      <w:r>
        <w:rPr>
          <w:rFonts w:ascii="Times New Roman" w:eastAsia="宋体" w:hAnsi="Times New Roman" w:hint="eastAsia"/>
          <w:bCs/>
          <w:color w:val="auto"/>
          <w:sz w:val="24"/>
          <w:szCs w:val="24"/>
          <w:highlight w:val="none"/>
        </w:rPr>
        <w:t>1、管道规划原则</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（1）管道网规划必须因地制宜，切合实际，遵循高效实用、满足市场、辐射周边、顾及长远和可持续发展的原则。</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（2）管道的规划应本着安全、合理、经济的原则，既要考虑市政对环境的要求和自身业务发展的需求，又要考虑投资回报率。</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（3）对于预知未定型的道路若市政没有硬性要求建设入地管道，农村道路等级别较低的道路可优先考虑采用架空或直埋的敷设方式，暂不考虑管道建设。</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（4）管道网规划要体现“近细远粗”和“轻重缓急”的原则，做好近期急需建设管道的规划以及重点区域的规划。</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（5）管道规划应以城市道路规划和功能区域规划为基础，以完善光缆网络物理结构为方向，以实现节点接入为目标。规划中应体现网络发展的独立性和整体性。</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（6）在管道网络规划时，应同时考虑本地功能区域规划、人口密度、经济情况、道路分布，以及楼宇、居民小区、各类场所的分布特点和规模。</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（7）对于新建、改建的建筑物，楼外预埋通信管道应与公用管道相连接。</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（8）城市的桥梁、</w:t>
      </w:r>
      <w:r>
        <w:rPr>
          <w:rFonts w:ascii="Times New Roman" w:eastAsia="宋体" w:hAnsi="Times New Roman" w:hint="eastAsia"/>
          <w:color w:val="auto"/>
          <w:sz w:val="24"/>
          <w:szCs w:val="24"/>
          <w:highlight w:val="none"/>
          <w:lang w:val="en-US" w:eastAsia="zh-CN"/>
        </w:rPr>
        <w:t>隧道</w:t>
      </w:r>
      <w:r>
        <w:rPr>
          <w:rFonts w:ascii="Times New Roman" w:eastAsia="宋体" w:hAnsi="Times New Roman" w:hint="eastAsia"/>
          <w:color w:val="auto"/>
          <w:sz w:val="24"/>
          <w:szCs w:val="24"/>
          <w:highlight w:val="none"/>
        </w:rPr>
        <w:t>、高等级公路等建筑应同步建设通信管道或留有通信管道的位置。必要时，应进行管道特殊设计。</w:t>
      </w:r>
    </w:p>
    <w:p>
      <w:pPr>
        <w:spacing w:line="240" w:lineRule="auto"/>
        <w:ind w:left="0" w:firstLine="480"/>
        <w:rPr>
          <w:rFonts w:ascii="Times New Roman" w:eastAsia="宋体" w:hAnsi="Times New Roman"/>
          <w:b/>
          <w:color w:val="auto"/>
          <w:sz w:val="24"/>
          <w:szCs w:val="24"/>
          <w:highlight w:val="none"/>
        </w:rPr>
      </w:pPr>
      <w:r>
        <w:rPr>
          <w:rFonts w:ascii="Times New Roman" w:eastAsia="宋体" w:hAnsi="Times New Roman" w:hint="eastAsia"/>
          <w:color w:val="auto"/>
          <w:sz w:val="24"/>
          <w:szCs w:val="24"/>
          <w:highlight w:val="none"/>
        </w:rPr>
        <w:t>（9）当规划道路红线宽度≥40米时应在道路两侧建设通信管道或通道；道路宽度&lt;40 米时应在用户较多的一侧建设单侧管道，部分段落可根据用户和业务分布情况修建双侧管道。在道路交叉口原则上需要建设过路管道，管孔数根据需求进行建设并进行适当预留；没有交叉路口的道路，每隔200米左右或每间隔1个人孔处建设一条不少于4孔的过路管道，以连接道路两侧的通信管道，这样可以提高传输网组网的灵活性，也可以为通信线路的路由提供多条选择。</w:t>
      </w:r>
    </w:p>
    <w:p>
      <w:pPr>
        <w:spacing w:line="240" w:lineRule="auto"/>
        <w:ind w:left="0" w:firstLine="206" w:firstLineChars="98"/>
        <w:rPr>
          <w:rFonts w:ascii="Times New Roman" w:eastAsia="宋体" w:hAnsi="Times New Roman"/>
          <w:bCs/>
          <w:color w:val="auto"/>
          <w:sz w:val="24"/>
          <w:szCs w:val="24"/>
          <w:highlight w:val="none"/>
        </w:rPr>
      </w:pPr>
      <w:r>
        <w:rPr>
          <w:rFonts w:ascii="Times New Roman" w:eastAsia="宋体" w:hAnsi="Times New Roman" w:hint="eastAsia"/>
          <w:bCs/>
          <w:color w:val="auto"/>
          <w:sz w:val="24"/>
          <w:szCs w:val="24"/>
          <w:highlight w:val="none"/>
        </w:rPr>
        <w:t>2、管道管孔建设原则</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城市通信综合管道管孔数的确定可参考下表：</w:t>
      </w:r>
    </w:p>
    <w:p>
      <w:pPr>
        <w:spacing w:line="240" w:lineRule="auto"/>
        <w:ind w:left="0" w:firstLine="422"/>
        <w:jc w:val="center"/>
        <w:rPr>
          <w:rFonts w:ascii="Times New Roman" w:eastAsia="宋体" w:hAnsi="Times New Roman" w:cs="宋体"/>
          <w:b/>
          <w:bCs/>
          <w:color w:val="auto"/>
          <w:szCs w:val="21"/>
          <w:highlight w:val="none"/>
        </w:rPr>
      </w:pPr>
      <w:r>
        <w:rPr>
          <w:rFonts w:ascii="Times New Roman" w:eastAsia="宋体" w:hAnsi="Times New Roman" w:cs="宋体" w:hint="eastAsia"/>
          <w:b/>
          <w:bCs/>
          <w:color w:val="auto"/>
          <w:szCs w:val="21"/>
          <w:highlight w:val="none"/>
        </w:rPr>
        <w:t>表8</w:t>
      </w:r>
      <w:r>
        <w:rPr>
          <w:rFonts w:ascii="Times New Roman" w:eastAsia="宋体" w:hAnsi="Times New Roman" w:cs="宋体"/>
          <w:b/>
          <w:bCs/>
          <w:color w:val="auto"/>
          <w:szCs w:val="21"/>
          <w:highlight w:val="none"/>
        </w:rPr>
        <w:t>-1</w:t>
      </w:r>
      <w:r>
        <w:rPr>
          <w:rFonts w:ascii="Times New Roman" w:eastAsia="宋体" w:hAnsi="Times New Roman" w:cs="宋体" w:hint="eastAsia"/>
          <w:b/>
          <w:bCs/>
          <w:color w:val="auto"/>
          <w:szCs w:val="21"/>
          <w:highlight w:val="none"/>
        </w:rPr>
        <w:t xml:space="preserve">  城市通信综合管道管规划管孔数</w:t>
      </w:r>
    </w:p>
    <w:tbl>
      <w:tblPr>
        <w:tblStyle w:val="TableNormal"/>
        <w:tblW w:w="0" w:type="auto"/>
        <w:jc w:val="center"/>
        <w:tblLayout w:type="fixed"/>
        <w:tblCellMar>
          <w:top w:w="0" w:type="dxa"/>
          <w:left w:w="0" w:type="dxa"/>
          <w:bottom w:w="0" w:type="dxa"/>
          <w:right w:w="0" w:type="dxa"/>
        </w:tblCellMar>
      </w:tblPr>
      <w:tblGrid>
        <w:gridCol w:w="2994"/>
        <w:gridCol w:w="2875"/>
        <w:gridCol w:w="2467"/>
      </w:tblGrid>
      <w:tr>
        <w:tblPrEx>
          <w:tblW w:w="0" w:type="auto"/>
          <w:jc w:val="center"/>
          <w:tblLayout w:type="fixed"/>
          <w:tblCellMar>
            <w:top w:w="0" w:type="dxa"/>
            <w:left w:w="0" w:type="dxa"/>
            <w:bottom w:w="0" w:type="dxa"/>
            <w:right w:w="0" w:type="dxa"/>
          </w:tblCellMar>
        </w:tblPrEx>
        <w:trPr>
          <w:trHeight w:val="270"/>
          <w:tblHeader/>
          <w:jc w:val="center"/>
        </w:trPr>
        <w:tc>
          <w:tcPr>
            <w:tcW w:w="2994"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pPr>
              <w:widowControl/>
              <w:spacing w:line="240" w:lineRule="auto"/>
              <w:ind w:left="0" w:firstLine="0" w:firstLineChars="0"/>
              <w:jc w:val="center"/>
              <w:textAlignment w:val="center"/>
              <w:outlineLvl w:val="8"/>
              <w:rPr>
                <w:rFonts w:ascii="Times New Roman" w:eastAsia="宋体" w:hAnsi="Times New Roman" w:cs="微软雅黑"/>
                <w:b/>
                <w:bCs/>
                <w:color w:val="auto"/>
                <w:kern w:val="0"/>
                <w:szCs w:val="21"/>
                <w:highlight w:val="none"/>
              </w:rPr>
            </w:pPr>
            <w:r>
              <w:rPr>
                <w:rFonts w:ascii="Times New Roman" w:eastAsia="宋体" w:hAnsi="Times New Roman" w:cs="微软雅黑" w:hint="eastAsia"/>
                <w:b/>
                <w:bCs/>
                <w:color w:val="auto"/>
                <w:kern w:val="0"/>
                <w:szCs w:val="21"/>
                <w:highlight w:val="none"/>
              </w:rPr>
              <w:t>城市道路类别</w:t>
            </w:r>
          </w:p>
        </w:tc>
        <w:tc>
          <w:tcPr>
            <w:tcW w:w="287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pPr>
              <w:widowControl/>
              <w:spacing w:line="240" w:lineRule="auto"/>
              <w:ind w:left="0" w:firstLine="0" w:firstLineChars="0"/>
              <w:jc w:val="center"/>
              <w:textAlignment w:val="center"/>
              <w:outlineLvl w:val="8"/>
              <w:rPr>
                <w:rFonts w:ascii="Times New Roman" w:eastAsia="宋体" w:hAnsi="Times New Roman" w:cs="微软雅黑"/>
                <w:b/>
                <w:bCs/>
                <w:color w:val="auto"/>
                <w:kern w:val="0"/>
                <w:szCs w:val="21"/>
                <w:highlight w:val="none"/>
              </w:rPr>
            </w:pPr>
            <w:r>
              <w:rPr>
                <w:rFonts w:ascii="Times New Roman" w:eastAsia="宋体" w:hAnsi="Times New Roman" w:cs="微软雅黑" w:hint="eastAsia"/>
                <w:b/>
                <w:bCs/>
                <w:color w:val="auto"/>
                <w:kern w:val="0"/>
                <w:szCs w:val="21"/>
                <w:highlight w:val="none"/>
              </w:rPr>
              <w:t>道路宽度（m）</w:t>
            </w:r>
          </w:p>
        </w:tc>
        <w:tc>
          <w:tcPr>
            <w:tcW w:w="24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pPr>
              <w:widowControl/>
              <w:spacing w:line="240" w:lineRule="auto"/>
              <w:ind w:left="0" w:firstLine="0" w:firstLineChars="0"/>
              <w:jc w:val="center"/>
              <w:textAlignment w:val="center"/>
              <w:outlineLvl w:val="8"/>
              <w:rPr>
                <w:rFonts w:ascii="Times New Roman" w:eastAsia="宋体" w:hAnsi="Times New Roman" w:cs="微软雅黑"/>
                <w:b/>
                <w:bCs/>
                <w:color w:val="auto"/>
                <w:kern w:val="0"/>
                <w:szCs w:val="21"/>
                <w:highlight w:val="none"/>
              </w:rPr>
            </w:pPr>
            <w:r>
              <w:rPr>
                <w:rFonts w:ascii="Times New Roman" w:eastAsia="宋体" w:hAnsi="Times New Roman" w:cs="微软雅黑" w:hint="eastAsia"/>
                <w:b/>
                <w:bCs/>
                <w:color w:val="auto"/>
                <w:kern w:val="0"/>
                <w:szCs w:val="21"/>
                <w:highlight w:val="none"/>
              </w:rPr>
              <w:t>管孔数（管孔）</w:t>
            </w:r>
          </w:p>
        </w:tc>
      </w:tr>
      <w:tr>
        <w:tblPrEx>
          <w:tblW w:w="0" w:type="auto"/>
          <w:jc w:val="center"/>
          <w:tblLayout w:type="fixed"/>
          <w:tblCellMar>
            <w:top w:w="0" w:type="dxa"/>
            <w:left w:w="0" w:type="dxa"/>
            <w:bottom w:w="0" w:type="dxa"/>
            <w:right w:w="0" w:type="dxa"/>
          </w:tblCellMar>
        </w:tblPrEx>
        <w:trPr>
          <w:trHeight w:val="270"/>
          <w:jc w:val="center"/>
        </w:trPr>
        <w:tc>
          <w:tcPr>
            <w:tcW w:w="2994"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pPr>
              <w:widowControl/>
              <w:spacing w:line="240" w:lineRule="auto"/>
              <w:ind w:left="0" w:firstLine="0" w:firstLineChars="0"/>
              <w:jc w:val="center"/>
              <w:textAlignment w:val="center"/>
              <w:outlineLvl w:val="8"/>
              <w:rPr>
                <w:rFonts w:ascii="Times New Roman" w:eastAsia="宋体" w:hAnsi="Times New Roman" w:cs="微软雅黑"/>
                <w:color w:val="auto"/>
                <w:kern w:val="0"/>
                <w:szCs w:val="21"/>
                <w:highlight w:val="none"/>
              </w:rPr>
            </w:pPr>
            <w:r>
              <w:rPr>
                <w:rFonts w:ascii="Times New Roman" w:eastAsia="宋体" w:hAnsi="Times New Roman" w:cs="微软雅黑" w:hint="eastAsia"/>
                <w:color w:val="auto"/>
                <w:kern w:val="0"/>
                <w:szCs w:val="21"/>
                <w:highlight w:val="none"/>
              </w:rPr>
              <w:t>主干路</w:t>
            </w:r>
          </w:p>
        </w:tc>
        <w:tc>
          <w:tcPr>
            <w:tcW w:w="287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pPr>
              <w:widowControl/>
              <w:spacing w:line="240" w:lineRule="auto"/>
              <w:ind w:left="0" w:firstLine="0" w:firstLineChars="0"/>
              <w:jc w:val="center"/>
              <w:textAlignment w:val="center"/>
              <w:outlineLvl w:val="8"/>
              <w:rPr>
                <w:rFonts w:ascii="Times New Roman" w:eastAsia="宋体" w:hAnsi="Times New Roman" w:cs="微软雅黑"/>
                <w:color w:val="auto"/>
                <w:kern w:val="0"/>
                <w:szCs w:val="21"/>
                <w:highlight w:val="none"/>
              </w:rPr>
            </w:pPr>
            <w:r>
              <w:rPr>
                <w:rFonts w:ascii="Times New Roman" w:eastAsia="宋体" w:hAnsi="Times New Roman" w:cs="微软雅黑" w:hint="eastAsia"/>
                <w:color w:val="auto"/>
                <w:kern w:val="0"/>
                <w:szCs w:val="21"/>
                <w:highlight w:val="none"/>
              </w:rPr>
              <w:t>40</w:t>
            </w:r>
          </w:p>
        </w:tc>
        <w:tc>
          <w:tcPr>
            <w:tcW w:w="24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pPr>
              <w:widowControl/>
              <w:spacing w:line="240" w:lineRule="auto"/>
              <w:ind w:left="0" w:firstLine="0" w:firstLineChars="0"/>
              <w:jc w:val="center"/>
              <w:textAlignment w:val="center"/>
              <w:outlineLvl w:val="8"/>
              <w:rPr>
                <w:rFonts w:ascii="Times New Roman" w:eastAsia="宋体" w:hAnsi="Times New Roman" w:cs="微软雅黑"/>
                <w:color w:val="auto"/>
                <w:kern w:val="0"/>
                <w:szCs w:val="21"/>
                <w:highlight w:val="none"/>
              </w:rPr>
            </w:pPr>
            <w:r>
              <w:rPr>
                <w:rFonts w:ascii="Times New Roman" w:eastAsia="宋体" w:hAnsi="Times New Roman" w:cs="微软雅黑" w:hint="eastAsia"/>
                <w:color w:val="auto"/>
                <w:kern w:val="0"/>
                <w:szCs w:val="21"/>
                <w:highlight w:val="none"/>
              </w:rPr>
              <w:t>18-36</w:t>
            </w:r>
          </w:p>
        </w:tc>
      </w:tr>
      <w:tr>
        <w:tblPrEx>
          <w:tblW w:w="0" w:type="auto"/>
          <w:jc w:val="center"/>
          <w:tblLayout w:type="fixed"/>
          <w:tblCellMar>
            <w:top w:w="0" w:type="dxa"/>
            <w:left w:w="0" w:type="dxa"/>
            <w:bottom w:w="0" w:type="dxa"/>
            <w:right w:w="0" w:type="dxa"/>
          </w:tblCellMar>
        </w:tblPrEx>
        <w:trPr>
          <w:trHeight w:val="270"/>
          <w:jc w:val="center"/>
        </w:trPr>
        <w:tc>
          <w:tcPr>
            <w:tcW w:w="2994"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pPr>
              <w:widowControl/>
              <w:spacing w:line="240" w:lineRule="auto"/>
              <w:ind w:left="0" w:firstLine="0" w:firstLineChars="0"/>
              <w:jc w:val="center"/>
              <w:textAlignment w:val="center"/>
              <w:outlineLvl w:val="8"/>
              <w:rPr>
                <w:rFonts w:ascii="Times New Roman" w:eastAsia="宋体" w:hAnsi="Times New Roman" w:cs="微软雅黑"/>
                <w:color w:val="auto"/>
                <w:kern w:val="0"/>
                <w:szCs w:val="21"/>
                <w:highlight w:val="none"/>
              </w:rPr>
            </w:pPr>
            <w:r>
              <w:rPr>
                <w:rFonts w:ascii="Times New Roman" w:eastAsia="宋体" w:hAnsi="Times New Roman" w:cs="微软雅黑" w:hint="eastAsia"/>
                <w:color w:val="auto"/>
                <w:kern w:val="0"/>
                <w:szCs w:val="21"/>
                <w:highlight w:val="none"/>
              </w:rPr>
              <w:t>次干路</w:t>
            </w:r>
          </w:p>
        </w:tc>
        <w:tc>
          <w:tcPr>
            <w:tcW w:w="287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pPr>
              <w:widowControl/>
              <w:spacing w:line="240" w:lineRule="auto"/>
              <w:ind w:left="0" w:firstLine="0" w:firstLineChars="0"/>
              <w:jc w:val="center"/>
              <w:textAlignment w:val="center"/>
              <w:outlineLvl w:val="8"/>
              <w:rPr>
                <w:rFonts w:ascii="Times New Roman" w:eastAsia="宋体" w:hAnsi="Times New Roman" w:cs="微软雅黑"/>
                <w:color w:val="auto"/>
                <w:kern w:val="0"/>
                <w:szCs w:val="21"/>
                <w:highlight w:val="none"/>
              </w:rPr>
            </w:pPr>
            <w:r>
              <w:rPr>
                <w:rFonts w:ascii="Times New Roman" w:eastAsia="宋体" w:hAnsi="Times New Roman" w:cs="微软雅黑" w:hint="eastAsia"/>
                <w:color w:val="auto"/>
                <w:kern w:val="0"/>
                <w:szCs w:val="21"/>
                <w:highlight w:val="none"/>
              </w:rPr>
              <w:t>30</w:t>
            </w:r>
          </w:p>
        </w:tc>
        <w:tc>
          <w:tcPr>
            <w:tcW w:w="24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pPr>
              <w:widowControl/>
              <w:spacing w:line="240" w:lineRule="auto"/>
              <w:ind w:left="0" w:firstLine="0" w:firstLineChars="0"/>
              <w:jc w:val="center"/>
              <w:textAlignment w:val="center"/>
              <w:outlineLvl w:val="8"/>
              <w:rPr>
                <w:rFonts w:ascii="Times New Roman" w:eastAsia="宋体" w:hAnsi="Times New Roman" w:cs="微软雅黑"/>
                <w:color w:val="auto"/>
                <w:kern w:val="0"/>
                <w:szCs w:val="21"/>
                <w:highlight w:val="none"/>
              </w:rPr>
            </w:pPr>
            <w:r>
              <w:rPr>
                <w:rFonts w:ascii="Times New Roman" w:eastAsia="宋体" w:hAnsi="Times New Roman" w:cs="微软雅黑" w:hint="eastAsia"/>
                <w:color w:val="auto"/>
                <w:kern w:val="0"/>
                <w:szCs w:val="21"/>
                <w:highlight w:val="none"/>
              </w:rPr>
              <w:t>14-26</w:t>
            </w:r>
          </w:p>
        </w:tc>
      </w:tr>
      <w:tr>
        <w:tblPrEx>
          <w:tblW w:w="0" w:type="auto"/>
          <w:jc w:val="center"/>
          <w:tblLayout w:type="fixed"/>
          <w:tblCellMar>
            <w:top w:w="0" w:type="dxa"/>
            <w:left w:w="0" w:type="dxa"/>
            <w:bottom w:w="0" w:type="dxa"/>
            <w:right w:w="0" w:type="dxa"/>
          </w:tblCellMar>
        </w:tblPrEx>
        <w:trPr>
          <w:trHeight w:val="270"/>
          <w:jc w:val="center"/>
        </w:trPr>
        <w:tc>
          <w:tcPr>
            <w:tcW w:w="2994"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pPr>
              <w:widowControl/>
              <w:spacing w:line="240" w:lineRule="auto"/>
              <w:ind w:left="0" w:firstLine="0" w:firstLineChars="0"/>
              <w:jc w:val="center"/>
              <w:textAlignment w:val="center"/>
              <w:outlineLvl w:val="8"/>
              <w:rPr>
                <w:rFonts w:ascii="Times New Roman" w:eastAsia="宋体" w:hAnsi="Times New Roman" w:cs="微软雅黑"/>
                <w:color w:val="auto"/>
                <w:kern w:val="0"/>
                <w:szCs w:val="21"/>
                <w:highlight w:val="none"/>
              </w:rPr>
            </w:pPr>
            <w:r>
              <w:rPr>
                <w:rFonts w:ascii="Times New Roman" w:eastAsia="宋体" w:hAnsi="Times New Roman" w:cs="微软雅黑" w:hint="eastAsia"/>
                <w:color w:val="auto"/>
                <w:kern w:val="0"/>
                <w:szCs w:val="21"/>
                <w:highlight w:val="none"/>
              </w:rPr>
              <w:t>支路</w:t>
            </w:r>
          </w:p>
        </w:tc>
        <w:tc>
          <w:tcPr>
            <w:tcW w:w="287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pPr>
              <w:widowControl/>
              <w:spacing w:line="240" w:lineRule="auto"/>
              <w:ind w:left="0" w:firstLine="0" w:firstLineChars="0"/>
              <w:jc w:val="center"/>
              <w:textAlignment w:val="center"/>
              <w:outlineLvl w:val="8"/>
              <w:rPr>
                <w:rFonts w:ascii="Times New Roman" w:eastAsia="宋体" w:hAnsi="Times New Roman" w:cs="微软雅黑"/>
                <w:color w:val="auto"/>
                <w:kern w:val="0"/>
                <w:szCs w:val="21"/>
                <w:highlight w:val="none"/>
              </w:rPr>
            </w:pPr>
            <w:r>
              <w:rPr>
                <w:rFonts w:ascii="Times New Roman" w:eastAsia="宋体" w:hAnsi="Times New Roman" w:cs="微软雅黑" w:hint="eastAsia"/>
                <w:color w:val="auto"/>
                <w:kern w:val="0"/>
                <w:szCs w:val="21"/>
                <w:highlight w:val="none"/>
              </w:rPr>
              <w:t>20</w:t>
            </w:r>
          </w:p>
        </w:tc>
        <w:tc>
          <w:tcPr>
            <w:tcW w:w="24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pPr>
              <w:widowControl/>
              <w:spacing w:line="240" w:lineRule="auto"/>
              <w:ind w:left="0" w:firstLine="0" w:firstLineChars="0"/>
              <w:jc w:val="center"/>
              <w:textAlignment w:val="center"/>
              <w:outlineLvl w:val="8"/>
              <w:rPr>
                <w:rFonts w:ascii="Times New Roman" w:eastAsia="宋体" w:hAnsi="Times New Roman" w:cs="微软雅黑"/>
                <w:color w:val="auto"/>
                <w:kern w:val="0"/>
                <w:szCs w:val="21"/>
                <w:highlight w:val="none"/>
              </w:rPr>
            </w:pPr>
            <w:r>
              <w:rPr>
                <w:rFonts w:ascii="Times New Roman" w:eastAsia="宋体" w:hAnsi="Times New Roman" w:cs="微软雅黑" w:hint="eastAsia"/>
                <w:color w:val="auto"/>
                <w:kern w:val="0"/>
                <w:szCs w:val="21"/>
                <w:highlight w:val="none"/>
              </w:rPr>
              <w:t>6-10</w:t>
            </w:r>
          </w:p>
        </w:tc>
      </w:tr>
      <w:tr>
        <w:tblPrEx>
          <w:tblW w:w="0" w:type="auto"/>
          <w:jc w:val="center"/>
          <w:tblLayout w:type="fixed"/>
          <w:tblCellMar>
            <w:top w:w="0" w:type="dxa"/>
            <w:left w:w="0" w:type="dxa"/>
            <w:bottom w:w="0" w:type="dxa"/>
            <w:right w:w="0" w:type="dxa"/>
          </w:tblCellMar>
        </w:tblPrEx>
        <w:trPr>
          <w:trHeight w:val="270"/>
          <w:jc w:val="center"/>
        </w:trPr>
        <w:tc>
          <w:tcPr>
            <w:tcW w:w="2994"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pPr>
              <w:widowControl/>
              <w:spacing w:line="240" w:lineRule="auto"/>
              <w:ind w:left="0" w:firstLine="0" w:firstLineChars="0"/>
              <w:jc w:val="center"/>
              <w:textAlignment w:val="center"/>
              <w:outlineLvl w:val="8"/>
              <w:rPr>
                <w:rFonts w:ascii="Times New Roman" w:eastAsia="宋体" w:hAnsi="Times New Roman" w:cs="微软雅黑"/>
                <w:color w:val="auto"/>
                <w:kern w:val="0"/>
                <w:szCs w:val="21"/>
                <w:highlight w:val="none"/>
              </w:rPr>
            </w:pPr>
            <w:r>
              <w:rPr>
                <w:rFonts w:ascii="Times New Roman" w:eastAsia="宋体" w:hAnsi="Times New Roman" w:cs="微软雅黑" w:hint="eastAsia"/>
                <w:color w:val="auto"/>
                <w:kern w:val="0"/>
                <w:szCs w:val="21"/>
                <w:highlight w:val="none"/>
              </w:rPr>
              <w:t>跨江大桥及隧道</w:t>
            </w:r>
          </w:p>
        </w:tc>
        <w:tc>
          <w:tcPr>
            <w:tcW w:w="287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pPr>
              <w:widowControl/>
              <w:spacing w:line="240" w:lineRule="auto"/>
              <w:ind w:left="0" w:firstLine="0" w:firstLineChars="0"/>
              <w:jc w:val="center"/>
              <w:textAlignment w:val="center"/>
              <w:outlineLvl w:val="8"/>
              <w:rPr>
                <w:rFonts w:ascii="Times New Roman" w:eastAsia="宋体" w:hAnsi="Times New Roman" w:cs="微软雅黑"/>
                <w:color w:val="auto"/>
                <w:kern w:val="0"/>
                <w:szCs w:val="21"/>
                <w:highlight w:val="none"/>
              </w:rPr>
            </w:pPr>
            <w:r>
              <w:rPr>
                <w:rFonts w:ascii="Times New Roman" w:eastAsia="宋体" w:hAnsi="Times New Roman" w:cs="微软雅黑" w:hint="eastAsia"/>
                <w:color w:val="auto"/>
                <w:kern w:val="0"/>
                <w:szCs w:val="21"/>
                <w:highlight w:val="none"/>
              </w:rPr>
              <w:t>—</w:t>
            </w:r>
          </w:p>
        </w:tc>
        <w:tc>
          <w:tcPr>
            <w:tcW w:w="246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pPr>
              <w:widowControl/>
              <w:spacing w:line="240" w:lineRule="auto"/>
              <w:ind w:left="0" w:firstLine="0" w:firstLineChars="0"/>
              <w:jc w:val="center"/>
              <w:textAlignment w:val="center"/>
              <w:outlineLvl w:val="8"/>
              <w:rPr>
                <w:rFonts w:ascii="Times New Roman" w:eastAsia="宋体" w:hAnsi="Times New Roman" w:cs="微软雅黑"/>
                <w:color w:val="auto"/>
                <w:kern w:val="0"/>
                <w:szCs w:val="21"/>
                <w:highlight w:val="none"/>
              </w:rPr>
            </w:pPr>
            <w:r>
              <w:rPr>
                <w:rFonts w:ascii="Times New Roman" w:eastAsia="宋体" w:hAnsi="Times New Roman" w:cs="微软雅黑" w:hint="eastAsia"/>
                <w:color w:val="auto"/>
                <w:kern w:val="0"/>
                <w:szCs w:val="21"/>
                <w:highlight w:val="none"/>
              </w:rPr>
              <w:t>18-36</w:t>
            </w:r>
          </w:p>
        </w:tc>
      </w:tr>
    </w:tbl>
    <w:p>
      <w:pPr>
        <w:spacing w:line="240" w:lineRule="auto"/>
        <w:ind w:left="0" w:firstLine="422"/>
        <w:jc w:val="center"/>
        <w:rPr>
          <w:rFonts w:ascii="Times New Roman" w:eastAsia="宋体" w:hAnsi="Times New Roman" w:cs="宋体"/>
          <w:b/>
          <w:bCs/>
          <w:color w:val="auto"/>
          <w:szCs w:val="21"/>
          <w:highlight w:val="none"/>
        </w:rPr>
      </w:pPr>
      <w:r>
        <w:rPr>
          <w:rFonts w:ascii="Times New Roman" w:eastAsia="宋体" w:hAnsi="Times New Roman" w:cs="宋体" w:hint="eastAsia"/>
          <w:b/>
          <w:bCs/>
          <w:color w:val="auto"/>
          <w:szCs w:val="21"/>
          <w:highlight w:val="none"/>
        </w:rPr>
        <w:t>表8</w:t>
      </w:r>
      <w:r>
        <w:rPr>
          <w:rFonts w:ascii="Times New Roman" w:eastAsia="宋体" w:hAnsi="Times New Roman" w:cs="宋体"/>
          <w:b/>
          <w:bCs/>
          <w:color w:val="auto"/>
          <w:szCs w:val="21"/>
          <w:highlight w:val="none"/>
        </w:rPr>
        <w:t>-2</w:t>
      </w:r>
      <w:r>
        <w:rPr>
          <w:rFonts w:ascii="Times New Roman" w:eastAsia="宋体" w:hAnsi="Times New Roman" w:cs="宋体" w:hint="eastAsia"/>
          <w:b/>
          <w:bCs/>
          <w:color w:val="auto"/>
          <w:szCs w:val="21"/>
          <w:highlight w:val="none"/>
        </w:rPr>
        <w:t xml:space="preserve">  城市</w:t>
      </w:r>
      <w:r>
        <w:rPr>
          <w:rFonts w:ascii="Times New Roman" w:eastAsia="宋体" w:hAnsi="Times New Roman" w:cs="宋体" w:hint="eastAsia"/>
          <w:b/>
          <w:bCs/>
          <w:color w:val="auto"/>
          <w:szCs w:val="21"/>
          <w:highlight w:val="none"/>
          <w:lang w:val="en-US" w:eastAsia="zh-CN"/>
        </w:rPr>
        <w:t>管</w:t>
      </w:r>
      <w:r>
        <w:rPr>
          <w:rFonts w:ascii="Times New Roman" w:eastAsia="宋体" w:hAnsi="Times New Roman" w:cs="宋体" w:hint="eastAsia"/>
          <w:b/>
          <w:bCs/>
          <w:color w:val="auto"/>
          <w:szCs w:val="21"/>
          <w:highlight w:val="none"/>
        </w:rPr>
        <w:t>网管孔范围</w:t>
      </w:r>
    </w:p>
    <w:tbl>
      <w:tblPr>
        <w:tblStyle w:val="TableNormal"/>
        <w:tblW w:w="0" w:type="auto"/>
        <w:jc w:val="center"/>
        <w:tblLayout w:type="fixed"/>
        <w:tblCellMar>
          <w:top w:w="0" w:type="dxa"/>
          <w:left w:w="0" w:type="dxa"/>
          <w:bottom w:w="0" w:type="dxa"/>
          <w:right w:w="0" w:type="dxa"/>
        </w:tblCellMar>
      </w:tblPr>
      <w:tblGrid>
        <w:gridCol w:w="2237"/>
        <w:gridCol w:w="2013"/>
        <w:gridCol w:w="1402"/>
        <w:gridCol w:w="2684"/>
      </w:tblGrid>
      <w:tr>
        <w:tblPrEx>
          <w:tblW w:w="0" w:type="auto"/>
          <w:jc w:val="center"/>
          <w:tblLayout w:type="fixed"/>
          <w:tblCellMar>
            <w:top w:w="0" w:type="dxa"/>
            <w:left w:w="0" w:type="dxa"/>
            <w:bottom w:w="0" w:type="dxa"/>
            <w:right w:w="0" w:type="dxa"/>
          </w:tblCellMar>
        </w:tblPrEx>
        <w:trPr>
          <w:trHeight w:val="270"/>
          <w:tblHeader/>
          <w:jc w:val="center"/>
        </w:trPr>
        <w:tc>
          <w:tcPr>
            <w:tcW w:w="223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b/>
                <w:bCs/>
                <w:color w:val="auto"/>
                <w:szCs w:val="21"/>
                <w:highlight w:val="none"/>
              </w:rPr>
            </w:pPr>
            <w:r>
              <w:rPr>
                <w:rFonts w:ascii="Times New Roman" w:eastAsia="宋体" w:hAnsi="Times New Roman" w:cs="宋体" w:hint="eastAsia"/>
                <w:b/>
                <w:bCs/>
                <w:color w:val="auto"/>
                <w:kern w:val="0"/>
                <w:szCs w:val="21"/>
                <w:highlight w:val="none"/>
              </w:rPr>
              <w:t>项目内容</w:t>
            </w:r>
          </w:p>
        </w:tc>
        <w:tc>
          <w:tcPr>
            <w:tcW w:w="2013"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pPr>
              <w:widowControl/>
              <w:spacing w:line="240" w:lineRule="auto"/>
              <w:ind w:left="0" w:firstLine="0" w:firstLineChars="0"/>
              <w:jc w:val="center"/>
              <w:textAlignment w:val="center"/>
              <w:rPr>
                <w:rFonts w:ascii="Times New Roman" w:eastAsia="宋体" w:hAnsi="Times New Roman" w:cs="宋体"/>
                <w:b/>
                <w:bCs/>
                <w:color w:val="auto"/>
                <w:szCs w:val="21"/>
                <w:highlight w:val="none"/>
              </w:rPr>
            </w:pPr>
            <w:r>
              <w:rPr>
                <w:rFonts w:ascii="Times New Roman" w:eastAsia="宋体" w:hAnsi="Times New Roman" w:cs="宋体" w:hint="eastAsia"/>
                <w:b/>
                <w:bCs/>
                <w:color w:val="auto"/>
                <w:kern w:val="0"/>
                <w:szCs w:val="21"/>
                <w:highlight w:val="none"/>
              </w:rPr>
              <w:t>适用的道路</w:t>
            </w:r>
          </w:p>
        </w:tc>
        <w:tc>
          <w:tcPr>
            <w:tcW w:w="1402"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pPr>
              <w:widowControl/>
              <w:spacing w:line="240" w:lineRule="auto"/>
              <w:ind w:left="19" w:hanging="19" w:hangingChars="9"/>
              <w:jc w:val="center"/>
              <w:textAlignment w:val="center"/>
              <w:rPr>
                <w:rFonts w:ascii="Times New Roman" w:eastAsia="宋体" w:hAnsi="Times New Roman" w:cs="宋体"/>
                <w:b/>
                <w:bCs/>
                <w:color w:val="auto"/>
                <w:szCs w:val="21"/>
                <w:highlight w:val="none"/>
              </w:rPr>
            </w:pPr>
            <w:r>
              <w:rPr>
                <w:rFonts w:ascii="Times New Roman" w:eastAsia="宋体" w:hAnsi="Times New Roman" w:cs="宋体" w:hint="eastAsia"/>
                <w:b/>
                <w:bCs/>
                <w:color w:val="auto"/>
                <w:kern w:val="0"/>
                <w:szCs w:val="21"/>
                <w:highlight w:val="none"/>
              </w:rPr>
              <w:t>管孔预测范围</w:t>
            </w:r>
          </w:p>
        </w:tc>
        <w:tc>
          <w:tcPr>
            <w:tcW w:w="2684"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pPr>
              <w:widowControl/>
              <w:spacing w:line="240" w:lineRule="auto"/>
              <w:ind w:left="36" w:hanging="36" w:hangingChars="17"/>
              <w:jc w:val="center"/>
              <w:textAlignment w:val="center"/>
              <w:rPr>
                <w:rFonts w:ascii="Times New Roman" w:eastAsia="宋体" w:hAnsi="Times New Roman" w:cs="宋体"/>
                <w:b/>
                <w:bCs/>
                <w:color w:val="auto"/>
                <w:szCs w:val="21"/>
                <w:highlight w:val="none"/>
              </w:rPr>
            </w:pPr>
            <w:r>
              <w:rPr>
                <w:rFonts w:ascii="Times New Roman" w:eastAsia="宋体" w:hAnsi="Times New Roman" w:cs="宋体" w:hint="eastAsia"/>
                <w:b/>
                <w:bCs/>
                <w:color w:val="auto"/>
                <w:kern w:val="0"/>
                <w:szCs w:val="21"/>
                <w:highlight w:val="none"/>
              </w:rPr>
              <w:t>管孔需求</w:t>
            </w:r>
          </w:p>
        </w:tc>
      </w:tr>
      <w:tr>
        <w:tblPrEx>
          <w:tblW w:w="0" w:type="auto"/>
          <w:jc w:val="center"/>
          <w:tblLayout w:type="fixed"/>
          <w:tblCellMar>
            <w:top w:w="0" w:type="dxa"/>
            <w:left w:w="0" w:type="dxa"/>
            <w:bottom w:w="0" w:type="dxa"/>
            <w:right w:w="0" w:type="dxa"/>
          </w:tblCellMar>
        </w:tblPrEx>
        <w:trPr>
          <w:trHeight w:val="720"/>
          <w:jc w:val="center"/>
        </w:trPr>
        <w:tc>
          <w:tcPr>
            <w:tcW w:w="8336" w:type="dxa"/>
            <w:gridSpan w:val="4"/>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pPr>
              <w:widowControl/>
              <w:spacing w:line="240" w:lineRule="auto"/>
              <w:ind w:left="0" w:firstLine="0" w:firstLineChars="0"/>
              <w:jc w:val="center"/>
              <w:textAlignment w:val="center"/>
              <w:outlineLvl w:val="8"/>
              <w:rPr>
                <w:rFonts w:ascii="Times New Roman" w:eastAsia="宋体" w:hAnsi="Times New Roman" w:cs="微软雅黑"/>
                <w:color w:val="auto"/>
                <w:kern w:val="0"/>
                <w:szCs w:val="21"/>
                <w:highlight w:val="none"/>
              </w:rPr>
            </w:pPr>
            <w:r>
              <w:rPr>
                <w:rFonts w:ascii="Times New Roman" w:eastAsia="宋体" w:hAnsi="Times New Roman" w:cs="微软雅黑" w:hint="eastAsia"/>
                <w:color w:val="auto"/>
                <w:kern w:val="0"/>
                <w:szCs w:val="21"/>
                <w:highlight w:val="none"/>
              </w:rPr>
              <w:t>1、超过40 米道路双侧布置。2、单侧布置时横过道路一个街区2~3 处。3、有综合管廊的路段按管线入廊设计。4、汇聚局房15~20 孔。5、小区内部连接管道参照住建厅文件执行。</w:t>
            </w:r>
          </w:p>
        </w:tc>
      </w:tr>
      <w:tr>
        <w:tblPrEx>
          <w:tblW w:w="0" w:type="auto"/>
          <w:jc w:val="center"/>
          <w:tblLayout w:type="fixed"/>
          <w:tblCellMar>
            <w:top w:w="0" w:type="dxa"/>
            <w:left w:w="0" w:type="dxa"/>
            <w:bottom w:w="0" w:type="dxa"/>
            <w:right w:w="0" w:type="dxa"/>
          </w:tblCellMar>
        </w:tblPrEx>
        <w:trPr>
          <w:trHeight w:val="1360"/>
          <w:jc w:val="center"/>
        </w:trPr>
        <w:tc>
          <w:tcPr>
            <w:tcW w:w="223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pPr>
              <w:widowControl/>
              <w:spacing w:line="240" w:lineRule="auto"/>
              <w:ind w:left="36" w:hanging="36" w:hangingChars="17"/>
              <w:jc w:val="center"/>
              <w:textAlignment w:val="center"/>
              <w:outlineLvl w:val="8"/>
              <w:rPr>
                <w:rFonts w:ascii="Times New Roman" w:eastAsia="宋体" w:hAnsi="Times New Roman" w:cs="微软雅黑"/>
                <w:color w:val="auto"/>
                <w:kern w:val="0"/>
                <w:szCs w:val="21"/>
                <w:highlight w:val="none"/>
              </w:rPr>
            </w:pPr>
            <w:r>
              <w:rPr>
                <w:rFonts w:ascii="Times New Roman" w:eastAsia="宋体" w:hAnsi="Times New Roman" w:cs="微软雅黑" w:hint="eastAsia"/>
                <w:color w:val="auto"/>
                <w:kern w:val="0"/>
                <w:szCs w:val="21"/>
                <w:highlight w:val="none"/>
              </w:rPr>
              <w:t>（≥40 米）主干通信管道</w:t>
            </w:r>
          </w:p>
        </w:tc>
        <w:tc>
          <w:tcPr>
            <w:tcW w:w="2013"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pPr>
              <w:widowControl/>
              <w:spacing w:line="240" w:lineRule="auto"/>
              <w:ind w:left="36" w:hanging="36" w:hangingChars="17"/>
              <w:jc w:val="center"/>
              <w:textAlignment w:val="center"/>
              <w:outlineLvl w:val="8"/>
              <w:rPr>
                <w:rFonts w:ascii="Times New Roman" w:eastAsia="宋体" w:hAnsi="Times New Roman" w:cs="微软雅黑"/>
                <w:color w:val="auto"/>
                <w:kern w:val="0"/>
                <w:szCs w:val="21"/>
                <w:highlight w:val="none"/>
              </w:rPr>
            </w:pPr>
            <w:r>
              <w:rPr>
                <w:rFonts w:ascii="Times New Roman" w:eastAsia="宋体" w:hAnsi="Times New Roman" w:cs="微软雅黑" w:hint="eastAsia"/>
                <w:color w:val="auto"/>
                <w:kern w:val="0"/>
                <w:szCs w:val="21"/>
                <w:highlight w:val="none"/>
              </w:rPr>
              <w:t>纵贯城市的城市主干道</w:t>
            </w:r>
          </w:p>
        </w:tc>
        <w:tc>
          <w:tcPr>
            <w:tcW w:w="1402"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pPr>
              <w:widowControl/>
              <w:spacing w:line="240" w:lineRule="auto"/>
              <w:ind w:left="36" w:hanging="36" w:hangingChars="17"/>
              <w:jc w:val="center"/>
              <w:textAlignment w:val="center"/>
              <w:outlineLvl w:val="8"/>
              <w:rPr>
                <w:rFonts w:ascii="Times New Roman" w:eastAsia="宋体" w:hAnsi="Times New Roman" w:cs="微软雅黑"/>
                <w:color w:val="auto"/>
                <w:kern w:val="0"/>
                <w:szCs w:val="21"/>
                <w:highlight w:val="none"/>
              </w:rPr>
            </w:pPr>
            <w:r>
              <w:rPr>
                <w:rFonts w:ascii="Times New Roman" w:eastAsia="宋体" w:hAnsi="Times New Roman" w:cs="微软雅黑" w:hint="eastAsia"/>
                <w:color w:val="auto"/>
                <w:kern w:val="0"/>
                <w:szCs w:val="21"/>
                <w:highlight w:val="none"/>
              </w:rPr>
              <w:t>14-16 管孔</w:t>
            </w:r>
          </w:p>
        </w:tc>
        <w:tc>
          <w:tcPr>
            <w:tcW w:w="268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pPr>
              <w:widowControl/>
              <w:spacing w:line="240" w:lineRule="auto"/>
              <w:ind w:left="36" w:hanging="36" w:hangingChars="17"/>
              <w:jc w:val="center"/>
              <w:textAlignment w:val="center"/>
              <w:outlineLvl w:val="8"/>
              <w:rPr>
                <w:rFonts w:ascii="Times New Roman" w:eastAsia="宋体" w:hAnsi="Times New Roman" w:cs="微软雅黑"/>
                <w:color w:val="auto"/>
                <w:kern w:val="0"/>
                <w:szCs w:val="21"/>
                <w:highlight w:val="none"/>
              </w:rPr>
            </w:pPr>
            <w:r>
              <w:rPr>
                <w:rFonts w:ascii="Times New Roman" w:eastAsia="宋体" w:hAnsi="Times New Roman" w:cs="微软雅黑" w:hint="eastAsia"/>
                <w:color w:val="auto"/>
                <w:kern w:val="0"/>
                <w:szCs w:val="21"/>
                <w:highlight w:val="none"/>
              </w:rPr>
              <w:t>电信：3 管孔；移动：3管孔；联通：3 管孔；广电：2 管孔；其他：3管孔。</w:t>
            </w:r>
          </w:p>
        </w:tc>
      </w:tr>
      <w:tr>
        <w:tblPrEx>
          <w:tblW w:w="0" w:type="auto"/>
          <w:jc w:val="center"/>
          <w:tblLayout w:type="fixed"/>
          <w:tblCellMar>
            <w:top w:w="0" w:type="dxa"/>
            <w:left w:w="0" w:type="dxa"/>
            <w:bottom w:w="0" w:type="dxa"/>
            <w:right w:w="0" w:type="dxa"/>
          </w:tblCellMar>
        </w:tblPrEx>
        <w:trPr>
          <w:trHeight w:val="1180"/>
          <w:jc w:val="center"/>
        </w:trPr>
        <w:tc>
          <w:tcPr>
            <w:tcW w:w="223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pPr>
              <w:widowControl/>
              <w:spacing w:line="240" w:lineRule="auto"/>
              <w:ind w:left="36" w:hanging="36" w:hangingChars="17"/>
              <w:jc w:val="center"/>
              <w:textAlignment w:val="center"/>
              <w:outlineLvl w:val="8"/>
              <w:rPr>
                <w:rFonts w:ascii="Times New Roman" w:eastAsia="宋体" w:hAnsi="Times New Roman" w:cs="微软雅黑"/>
                <w:color w:val="auto"/>
                <w:kern w:val="0"/>
                <w:szCs w:val="21"/>
                <w:highlight w:val="none"/>
              </w:rPr>
            </w:pPr>
            <w:r>
              <w:rPr>
                <w:rFonts w:ascii="Times New Roman" w:eastAsia="宋体" w:hAnsi="Times New Roman" w:cs="微软雅黑" w:hint="eastAsia"/>
                <w:color w:val="auto"/>
                <w:kern w:val="0"/>
                <w:szCs w:val="21"/>
                <w:highlight w:val="none"/>
              </w:rPr>
              <w:t>（≥30 米）次干通信管道</w:t>
            </w:r>
          </w:p>
        </w:tc>
        <w:tc>
          <w:tcPr>
            <w:tcW w:w="2013"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pPr>
              <w:widowControl/>
              <w:spacing w:line="240" w:lineRule="auto"/>
              <w:ind w:left="36" w:hanging="36" w:hangingChars="17"/>
              <w:jc w:val="center"/>
              <w:textAlignment w:val="center"/>
              <w:outlineLvl w:val="8"/>
              <w:rPr>
                <w:rFonts w:ascii="Times New Roman" w:eastAsia="宋体" w:hAnsi="Times New Roman" w:cs="微软雅黑"/>
                <w:color w:val="auto"/>
                <w:kern w:val="0"/>
                <w:szCs w:val="21"/>
                <w:highlight w:val="none"/>
              </w:rPr>
            </w:pPr>
            <w:r>
              <w:rPr>
                <w:rFonts w:ascii="Times New Roman" w:eastAsia="宋体" w:hAnsi="Times New Roman" w:cs="微软雅黑" w:hint="eastAsia"/>
                <w:color w:val="auto"/>
                <w:kern w:val="0"/>
                <w:szCs w:val="21"/>
                <w:highlight w:val="none"/>
              </w:rPr>
              <w:t>城市次干道</w:t>
            </w:r>
          </w:p>
        </w:tc>
        <w:tc>
          <w:tcPr>
            <w:tcW w:w="1402"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pPr>
              <w:widowControl/>
              <w:spacing w:line="240" w:lineRule="auto"/>
              <w:ind w:left="36" w:hanging="36" w:hangingChars="17"/>
              <w:jc w:val="center"/>
              <w:textAlignment w:val="center"/>
              <w:outlineLvl w:val="8"/>
              <w:rPr>
                <w:rFonts w:ascii="Times New Roman" w:eastAsia="宋体" w:hAnsi="Times New Roman" w:cs="微软雅黑"/>
                <w:color w:val="auto"/>
                <w:kern w:val="0"/>
                <w:szCs w:val="21"/>
                <w:highlight w:val="none"/>
              </w:rPr>
            </w:pPr>
            <w:r>
              <w:rPr>
                <w:rFonts w:ascii="Times New Roman" w:eastAsia="宋体" w:hAnsi="Times New Roman" w:cs="微软雅黑" w:hint="eastAsia"/>
                <w:color w:val="auto"/>
                <w:kern w:val="0"/>
                <w:szCs w:val="21"/>
                <w:highlight w:val="none"/>
              </w:rPr>
              <w:t>10-12 管孔</w:t>
            </w:r>
          </w:p>
        </w:tc>
        <w:tc>
          <w:tcPr>
            <w:tcW w:w="268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pPr>
              <w:widowControl/>
              <w:spacing w:line="240" w:lineRule="auto"/>
              <w:ind w:left="36" w:hanging="36" w:hangingChars="17"/>
              <w:jc w:val="center"/>
              <w:textAlignment w:val="center"/>
              <w:outlineLvl w:val="8"/>
              <w:rPr>
                <w:rFonts w:ascii="Times New Roman" w:eastAsia="宋体" w:hAnsi="Times New Roman" w:cs="微软雅黑"/>
                <w:color w:val="auto"/>
                <w:kern w:val="0"/>
                <w:szCs w:val="21"/>
                <w:highlight w:val="none"/>
              </w:rPr>
            </w:pPr>
            <w:r>
              <w:rPr>
                <w:rFonts w:ascii="Times New Roman" w:eastAsia="宋体" w:hAnsi="Times New Roman" w:cs="微软雅黑" w:hint="eastAsia"/>
                <w:color w:val="auto"/>
                <w:kern w:val="0"/>
                <w:szCs w:val="21"/>
                <w:highlight w:val="none"/>
              </w:rPr>
              <w:t>电信：2 管孔；移动：2管孔；联通：2 管孔；广电：1 管孔；其他：3 管孔。</w:t>
            </w:r>
          </w:p>
        </w:tc>
      </w:tr>
      <w:tr>
        <w:tblPrEx>
          <w:tblW w:w="0" w:type="auto"/>
          <w:jc w:val="center"/>
          <w:tblLayout w:type="fixed"/>
          <w:tblCellMar>
            <w:top w:w="0" w:type="dxa"/>
            <w:left w:w="0" w:type="dxa"/>
            <w:bottom w:w="0" w:type="dxa"/>
            <w:right w:w="0" w:type="dxa"/>
          </w:tblCellMar>
        </w:tblPrEx>
        <w:trPr>
          <w:trHeight w:val="1140"/>
          <w:jc w:val="center"/>
        </w:trPr>
        <w:tc>
          <w:tcPr>
            <w:tcW w:w="223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pPr>
              <w:widowControl/>
              <w:spacing w:line="240" w:lineRule="auto"/>
              <w:ind w:left="36" w:hanging="36" w:hangingChars="17"/>
              <w:jc w:val="center"/>
              <w:textAlignment w:val="center"/>
              <w:outlineLvl w:val="8"/>
              <w:rPr>
                <w:rFonts w:ascii="Times New Roman" w:eastAsia="宋体" w:hAnsi="Times New Roman" w:cs="微软雅黑"/>
                <w:color w:val="auto"/>
                <w:kern w:val="0"/>
                <w:szCs w:val="21"/>
                <w:highlight w:val="none"/>
              </w:rPr>
            </w:pPr>
            <w:r>
              <w:rPr>
                <w:rFonts w:ascii="Times New Roman" w:eastAsia="宋体" w:hAnsi="Times New Roman" w:cs="微软雅黑" w:hint="eastAsia"/>
                <w:color w:val="auto"/>
                <w:kern w:val="0"/>
                <w:szCs w:val="21"/>
                <w:highlight w:val="none"/>
              </w:rPr>
              <w:t>（≥20 米）支干通信管道</w:t>
            </w:r>
          </w:p>
        </w:tc>
        <w:tc>
          <w:tcPr>
            <w:tcW w:w="2013"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pPr>
              <w:widowControl/>
              <w:spacing w:line="240" w:lineRule="auto"/>
              <w:ind w:left="36" w:hanging="36" w:hangingChars="17"/>
              <w:jc w:val="center"/>
              <w:textAlignment w:val="center"/>
              <w:outlineLvl w:val="8"/>
              <w:rPr>
                <w:rFonts w:ascii="Times New Roman" w:eastAsia="宋体" w:hAnsi="Times New Roman" w:cs="微软雅黑"/>
                <w:color w:val="auto"/>
                <w:kern w:val="0"/>
                <w:szCs w:val="21"/>
                <w:highlight w:val="none"/>
              </w:rPr>
            </w:pPr>
            <w:r>
              <w:rPr>
                <w:rFonts w:ascii="Times New Roman" w:eastAsia="宋体" w:hAnsi="Times New Roman" w:cs="微软雅黑" w:hint="eastAsia"/>
                <w:color w:val="auto"/>
                <w:kern w:val="0"/>
                <w:szCs w:val="21"/>
                <w:highlight w:val="none"/>
              </w:rPr>
              <w:t>连接主干道次干道的道路</w:t>
            </w:r>
          </w:p>
        </w:tc>
        <w:tc>
          <w:tcPr>
            <w:tcW w:w="1402"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pPr>
              <w:widowControl/>
              <w:spacing w:line="240" w:lineRule="auto"/>
              <w:ind w:left="36" w:hanging="36" w:hangingChars="17"/>
              <w:jc w:val="center"/>
              <w:textAlignment w:val="center"/>
              <w:outlineLvl w:val="8"/>
              <w:rPr>
                <w:rFonts w:ascii="Times New Roman" w:eastAsia="宋体" w:hAnsi="Times New Roman" w:cs="微软雅黑"/>
                <w:color w:val="auto"/>
                <w:kern w:val="0"/>
                <w:szCs w:val="21"/>
                <w:highlight w:val="none"/>
              </w:rPr>
            </w:pPr>
            <w:r>
              <w:rPr>
                <w:rFonts w:ascii="Times New Roman" w:eastAsia="宋体" w:hAnsi="Times New Roman" w:cs="微软雅黑" w:hint="eastAsia"/>
                <w:color w:val="auto"/>
                <w:kern w:val="0"/>
                <w:szCs w:val="21"/>
                <w:highlight w:val="none"/>
              </w:rPr>
              <w:t xml:space="preserve"> 9-10 管孔</w:t>
            </w:r>
          </w:p>
        </w:tc>
        <w:tc>
          <w:tcPr>
            <w:tcW w:w="268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pPr>
              <w:widowControl/>
              <w:spacing w:line="240" w:lineRule="auto"/>
              <w:ind w:left="36" w:hanging="36" w:hangingChars="17"/>
              <w:jc w:val="center"/>
              <w:textAlignment w:val="center"/>
              <w:outlineLvl w:val="8"/>
              <w:rPr>
                <w:rFonts w:ascii="Times New Roman" w:eastAsia="宋体" w:hAnsi="Times New Roman" w:cs="微软雅黑"/>
                <w:color w:val="auto"/>
                <w:kern w:val="0"/>
                <w:szCs w:val="21"/>
                <w:highlight w:val="none"/>
              </w:rPr>
            </w:pPr>
            <w:r>
              <w:rPr>
                <w:rFonts w:ascii="Times New Roman" w:eastAsia="宋体" w:hAnsi="Times New Roman" w:cs="微软雅黑" w:hint="eastAsia"/>
                <w:color w:val="auto"/>
                <w:kern w:val="0"/>
                <w:szCs w:val="21"/>
                <w:highlight w:val="none"/>
              </w:rPr>
              <w:t>电信：2 管孔；移动：2管孔；联通：2 管孔；广电：1 管孔；其他：2管孔。</w:t>
            </w:r>
          </w:p>
        </w:tc>
      </w:tr>
      <w:tr>
        <w:tblPrEx>
          <w:tblW w:w="0" w:type="auto"/>
          <w:jc w:val="center"/>
          <w:tblLayout w:type="fixed"/>
          <w:tblCellMar>
            <w:top w:w="0" w:type="dxa"/>
            <w:left w:w="0" w:type="dxa"/>
            <w:bottom w:w="0" w:type="dxa"/>
            <w:right w:w="0" w:type="dxa"/>
          </w:tblCellMar>
        </w:tblPrEx>
        <w:trPr>
          <w:trHeight w:val="1340"/>
          <w:jc w:val="center"/>
        </w:trPr>
        <w:tc>
          <w:tcPr>
            <w:tcW w:w="223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pPr>
              <w:widowControl/>
              <w:spacing w:line="240" w:lineRule="auto"/>
              <w:ind w:left="36" w:hanging="36" w:hangingChars="17"/>
              <w:jc w:val="center"/>
              <w:textAlignment w:val="center"/>
              <w:outlineLvl w:val="8"/>
              <w:rPr>
                <w:rFonts w:ascii="Times New Roman" w:eastAsia="宋体" w:hAnsi="Times New Roman" w:cs="微软雅黑"/>
                <w:color w:val="auto"/>
                <w:kern w:val="0"/>
                <w:szCs w:val="21"/>
                <w:highlight w:val="none"/>
              </w:rPr>
            </w:pPr>
            <w:r>
              <w:rPr>
                <w:rFonts w:ascii="Times New Roman" w:eastAsia="宋体" w:hAnsi="Times New Roman" w:cs="微软雅黑" w:hint="eastAsia"/>
                <w:color w:val="auto"/>
                <w:kern w:val="0"/>
                <w:szCs w:val="21"/>
                <w:highlight w:val="none"/>
              </w:rPr>
              <w:t>（≤20 米）一般通信管道</w:t>
            </w:r>
          </w:p>
        </w:tc>
        <w:tc>
          <w:tcPr>
            <w:tcW w:w="2013"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pPr>
              <w:widowControl/>
              <w:spacing w:line="240" w:lineRule="auto"/>
              <w:ind w:left="36" w:hanging="36" w:hangingChars="17"/>
              <w:jc w:val="center"/>
              <w:textAlignment w:val="center"/>
              <w:outlineLvl w:val="8"/>
              <w:rPr>
                <w:rFonts w:ascii="Times New Roman" w:eastAsia="宋体" w:hAnsi="Times New Roman" w:cs="微软雅黑"/>
                <w:color w:val="auto"/>
                <w:kern w:val="0"/>
                <w:szCs w:val="21"/>
                <w:highlight w:val="none"/>
              </w:rPr>
            </w:pPr>
            <w:r>
              <w:rPr>
                <w:rFonts w:ascii="Times New Roman" w:eastAsia="宋体" w:hAnsi="Times New Roman" w:cs="微软雅黑" w:hint="eastAsia"/>
                <w:color w:val="auto"/>
                <w:kern w:val="0"/>
                <w:szCs w:val="21"/>
                <w:highlight w:val="none"/>
              </w:rPr>
              <w:t>街坊、园区内道路</w:t>
            </w:r>
          </w:p>
        </w:tc>
        <w:tc>
          <w:tcPr>
            <w:tcW w:w="1402"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pPr>
              <w:widowControl/>
              <w:spacing w:line="240" w:lineRule="auto"/>
              <w:ind w:left="36" w:hanging="36" w:hangingChars="17"/>
              <w:jc w:val="center"/>
              <w:textAlignment w:val="center"/>
              <w:outlineLvl w:val="8"/>
              <w:rPr>
                <w:rFonts w:ascii="Times New Roman" w:eastAsia="宋体" w:hAnsi="Times New Roman" w:cs="微软雅黑"/>
                <w:color w:val="auto"/>
                <w:kern w:val="0"/>
                <w:szCs w:val="21"/>
                <w:highlight w:val="none"/>
              </w:rPr>
            </w:pPr>
            <w:r>
              <w:rPr>
                <w:rFonts w:ascii="Times New Roman" w:eastAsia="宋体" w:hAnsi="Times New Roman" w:cs="微软雅黑" w:hint="eastAsia"/>
                <w:color w:val="auto"/>
                <w:kern w:val="0"/>
                <w:szCs w:val="21"/>
                <w:highlight w:val="none"/>
              </w:rPr>
              <w:t>6-8 管孔</w:t>
            </w:r>
          </w:p>
        </w:tc>
        <w:tc>
          <w:tcPr>
            <w:tcW w:w="268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pPr>
              <w:widowControl/>
              <w:spacing w:line="240" w:lineRule="auto"/>
              <w:ind w:left="36" w:hanging="36" w:hangingChars="17"/>
              <w:jc w:val="center"/>
              <w:textAlignment w:val="center"/>
              <w:outlineLvl w:val="8"/>
              <w:rPr>
                <w:rFonts w:ascii="Times New Roman" w:eastAsia="宋体" w:hAnsi="Times New Roman" w:cs="微软雅黑"/>
                <w:color w:val="auto"/>
                <w:kern w:val="0"/>
                <w:szCs w:val="21"/>
                <w:highlight w:val="none"/>
              </w:rPr>
            </w:pPr>
            <w:r>
              <w:rPr>
                <w:rFonts w:ascii="Times New Roman" w:eastAsia="宋体" w:hAnsi="Times New Roman" w:cs="微软雅黑" w:hint="eastAsia"/>
                <w:color w:val="auto"/>
                <w:kern w:val="0"/>
                <w:szCs w:val="21"/>
                <w:highlight w:val="none"/>
              </w:rPr>
              <w:t>电信：1 管孔；移动：1管孔；联通：1 管孔；广电：1 管孔；其他：2 管孔。</w:t>
            </w:r>
          </w:p>
        </w:tc>
      </w:tr>
    </w:tbl>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通信管道管孔数量在实际建设过程中根据规划用地性质，人口规模可有适当增减，但应明确通信管道统一规划、建设，杜绝反复、多次开挖路</w:t>
      </w:r>
      <w:r>
        <w:rPr>
          <w:rFonts w:ascii="Times New Roman" w:eastAsia="宋体" w:hAnsi="Times New Roman"/>
          <w:color w:val="auto"/>
          <w:sz w:val="24"/>
          <w:szCs w:val="24"/>
          <w:highlight w:val="none"/>
        </w:rPr>
        <w:t>面的“马路拉链”问题</w:t>
      </w:r>
      <w:r>
        <w:rPr>
          <w:rFonts w:ascii="Times New Roman" w:eastAsia="宋体" w:hAnsi="Times New Roman" w:hint="eastAsia"/>
          <w:color w:val="auto"/>
          <w:sz w:val="24"/>
          <w:szCs w:val="24"/>
          <w:highlight w:val="none"/>
        </w:rPr>
        <w:t>。同时，为避免部分基础电信企业部分管孔闲置，其它基础电信企业无管孔可用的情况，应大力提倡各基础电信企业间本着公平、合理、自愿协商的原则出租各自闲置的管孔资源或闲置的光纤、电路。以最大限度的提高有限的管孔资源的利用率。</w:t>
      </w:r>
    </w:p>
    <w:p>
      <w:pPr>
        <w:spacing w:line="240" w:lineRule="auto"/>
        <w:ind w:left="0" w:firstLine="206" w:firstLineChars="98"/>
        <w:rPr>
          <w:rFonts w:ascii="Times New Roman" w:eastAsia="宋体" w:hAnsi="Times New Roman"/>
          <w:bCs/>
          <w:color w:val="auto"/>
          <w:sz w:val="24"/>
          <w:szCs w:val="24"/>
          <w:highlight w:val="none"/>
        </w:rPr>
      </w:pPr>
      <w:r>
        <w:rPr>
          <w:rFonts w:ascii="Times New Roman" w:eastAsia="宋体" w:hAnsi="Times New Roman" w:hint="eastAsia"/>
          <w:bCs/>
          <w:color w:val="auto"/>
          <w:sz w:val="24"/>
          <w:szCs w:val="24"/>
          <w:highlight w:val="none"/>
        </w:rPr>
        <w:t>3、传输管道规划需求整合原则</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不同电信企业在同一路段都有需求的，需把各电信企业的需求整合成一个总需求。当道路红线宽度≥40米时，应分别统计道路两侧各自的建设需求，在道路两侧建设通信管道；当道路宽度&lt;40米时，把道路两侧的建设需求合在一起统计，选择用户较多的一侧建设单侧管道；当道路宽度&lt;40米时，对于部分段落因特殊情况需修建双侧管道的，也需要分别统计道路两侧各自的建设需求。</w:t>
      </w:r>
    </w:p>
    <w:p>
      <w:pPr>
        <w:spacing w:line="240" w:lineRule="auto"/>
        <w:ind w:left="0" w:firstLine="206" w:firstLineChars="98"/>
        <w:rPr>
          <w:rFonts w:ascii="Times New Roman" w:eastAsia="宋体" w:hAnsi="Times New Roman"/>
          <w:bCs/>
          <w:color w:val="auto"/>
          <w:sz w:val="24"/>
          <w:szCs w:val="24"/>
          <w:highlight w:val="none"/>
        </w:rPr>
      </w:pPr>
      <w:r>
        <w:rPr>
          <w:rFonts w:ascii="Times New Roman" w:eastAsia="宋体" w:hAnsi="Times New Roman" w:hint="eastAsia"/>
          <w:bCs/>
          <w:color w:val="auto"/>
          <w:sz w:val="24"/>
          <w:szCs w:val="24"/>
          <w:highlight w:val="none"/>
        </w:rPr>
        <w:t>4、管道路由和位置选择要求</w:t>
      </w:r>
    </w:p>
    <w:p>
      <w:pPr>
        <w:spacing w:line="240" w:lineRule="auto"/>
        <w:ind w:left="0" w:firstLine="480"/>
        <w:rPr>
          <w:rFonts w:ascii="Times New Roman" w:eastAsia="宋体" w:hAnsi="Times New Roman" w:cs="宋体"/>
          <w:color w:val="auto"/>
          <w:sz w:val="24"/>
          <w:szCs w:val="24"/>
          <w:highlight w:val="none"/>
        </w:rPr>
      </w:pPr>
      <w:r>
        <w:rPr>
          <w:rFonts w:ascii="Times New Roman" w:eastAsia="宋体" w:hAnsi="Times New Roman" w:cs="宋体" w:hint="eastAsia"/>
          <w:color w:val="auto"/>
          <w:sz w:val="24"/>
          <w:szCs w:val="24"/>
          <w:highlight w:val="none"/>
        </w:rPr>
        <w:t>（1）长途管道路由和位置</w:t>
      </w:r>
    </w:p>
    <w:p>
      <w:pPr>
        <w:spacing w:line="240" w:lineRule="auto"/>
        <w:ind w:left="0" w:firstLine="480"/>
        <w:rPr>
          <w:rFonts w:ascii="Times New Roman" w:eastAsia="宋体" w:hAnsi="Times New Roman" w:cs="宋体"/>
          <w:color w:val="auto"/>
          <w:sz w:val="24"/>
          <w:szCs w:val="24"/>
          <w:highlight w:val="none"/>
        </w:rPr>
      </w:pPr>
      <w:r>
        <w:rPr>
          <w:rFonts w:ascii="Times New Roman" w:eastAsia="宋体" w:hAnsi="Times New Roman" w:cs="宋体" w:hint="eastAsia"/>
          <w:color w:val="auto"/>
          <w:sz w:val="24"/>
          <w:szCs w:val="24"/>
          <w:highlight w:val="none"/>
        </w:rPr>
        <w:t>1）长途管道的路由方案应以通信网络规划为基础进行多方案比较。</w:t>
      </w:r>
    </w:p>
    <w:p>
      <w:pPr>
        <w:spacing w:line="240" w:lineRule="auto"/>
        <w:ind w:left="0" w:firstLine="480"/>
        <w:rPr>
          <w:rFonts w:ascii="Times New Roman" w:eastAsia="宋体" w:hAnsi="Times New Roman" w:cs="宋体"/>
          <w:color w:val="auto"/>
          <w:sz w:val="24"/>
          <w:szCs w:val="24"/>
          <w:highlight w:val="none"/>
        </w:rPr>
      </w:pPr>
      <w:r>
        <w:rPr>
          <w:rFonts w:ascii="Times New Roman" w:eastAsia="宋体" w:hAnsi="Times New Roman" w:cs="宋体" w:hint="eastAsia"/>
          <w:color w:val="auto"/>
          <w:sz w:val="24"/>
          <w:szCs w:val="24"/>
          <w:highlight w:val="none"/>
        </w:rPr>
        <w:t>2）管道路由沿靠公路时，必须充分调研公路是否有拓宽、改造计划。若公路为定型公路，管道的位置宜为公路的边沟、路肩、边沟与公路用地边缘之间，也可离开公路铺设；若公路为非定型公路，管道应离开公路铺设，还应避开公路升级改造、取直拓宽和路边其他规划的影响。管道离开公路铺设时，与公路的距离不宜超过200米，以便于光缆施工和维护。</w:t>
      </w:r>
    </w:p>
    <w:p>
      <w:pPr>
        <w:spacing w:line="240" w:lineRule="auto"/>
        <w:ind w:left="0" w:firstLine="480"/>
        <w:rPr>
          <w:rFonts w:ascii="Times New Roman" w:eastAsia="宋体" w:hAnsi="Times New Roman" w:cs="宋体"/>
          <w:color w:val="auto"/>
          <w:sz w:val="24"/>
          <w:szCs w:val="24"/>
          <w:highlight w:val="none"/>
        </w:rPr>
      </w:pPr>
      <w:r>
        <w:rPr>
          <w:rFonts w:ascii="Times New Roman" w:eastAsia="宋体" w:hAnsi="Times New Roman" w:cs="宋体" w:hint="eastAsia"/>
          <w:color w:val="auto"/>
          <w:sz w:val="24"/>
          <w:szCs w:val="24"/>
          <w:highlight w:val="none"/>
        </w:rPr>
        <w:t>3）管道沿靠高等级公路敷设时，宜选择在公路的中间隔离带，无拓宽改造计划的公路也可选择在路肩及边坡和隔离栅以内，不宜选择在隔离栅以外。</w:t>
      </w:r>
    </w:p>
    <w:p>
      <w:pPr>
        <w:spacing w:line="240" w:lineRule="auto"/>
        <w:ind w:left="0" w:firstLine="480"/>
        <w:rPr>
          <w:rFonts w:ascii="Times New Roman" w:eastAsia="宋体" w:hAnsi="Times New Roman" w:cs="宋体"/>
          <w:color w:val="auto"/>
          <w:sz w:val="24"/>
          <w:szCs w:val="24"/>
          <w:highlight w:val="none"/>
        </w:rPr>
      </w:pPr>
      <w:r>
        <w:rPr>
          <w:rFonts w:ascii="Times New Roman" w:eastAsia="宋体" w:hAnsi="Times New Roman" w:cs="宋体" w:hint="eastAsia"/>
          <w:color w:val="auto"/>
          <w:sz w:val="24"/>
          <w:szCs w:val="24"/>
          <w:highlight w:val="none"/>
        </w:rPr>
        <w:t>4）管道沿靠铁路建设时，管道的位置应便于施工和维护。</w:t>
      </w:r>
    </w:p>
    <w:p>
      <w:pPr>
        <w:spacing w:line="240" w:lineRule="auto"/>
        <w:ind w:left="0" w:firstLine="480"/>
        <w:rPr>
          <w:rFonts w:ascii="Times New Roman" w:eastAsia="宋体" w:hAnsi="Times New Roman" w:cs="宋体"/>
          <w:color w:val="auto"/>
          <w:sz w:val="24"/>
          <w:szCs w:val="24"/>
          <w:highlight w:val="none"/>
        </w:rPr>
      </w:pPr>
      <w:r>
        <w:rPr>
          <w:rFonts w:ascii="Times New Roman" w:eastAsia="宋体" w:hAnsi="Times New Roman" w:cs="宋体" w:hint="eastAsia"/>
          <w:color w:val="auto"/>
          <w:sz w:val="24"/>
          <w:szCs w:val="24"/>
          <w:highlight w:val="none"/>
        </w:rPr>
        <w:t>5）长途管道在进入市区或集镇时，应充分考虑城市或集镇发展对管道路由的影响，尽量使市政道路管道向郊外延伸，并选取安全、稳定的地点和长途管道衔接。</w:t>
      </w:r>
    </w:p>
    <w:p>
      <w:pPr>
        <w:spacing w:line="240" w:lineRule="auto"/>
        <w:ind w:left="0" w:firstLine="480"/>
        <w:rPr>
          <w:rFonts w:ascii="Times New Roman" w:eastAsia="宋体" w:hAnsi="Times New Roman" w:cs="宋体"/>
          <w:color w:val="auto"/>
          <w:sz w:val="24"/>
          <w:szCs w:val="24"/>
          <w:highlight w:val="none"/>
        </w:rPr>
      </w:pPr>
      <w:r>
        <w:rPr>
          <w:rFonts w:ascii="Times New Roman" w:eastAsia="宋体" w:hAnsi="Times New Roman" w:cs="宋体" w:hint="eastAsia"/>
          <w:color w:val="auto"/>
          <w:sz w:val="24"/>
          <w:szCs w:val="24"/>
          <w:highlight w:val="none"/>
        </w:rPr>
        <w:t>（2）市区管道路由和位置</w:t>
      </w:r>
    </w:p>
    <w:p>
      <w:pPr>
        <w:spacing w:line="240" w:lineRule="auto"/>
        <w:ind w:left="0" w:firstLine="480"/>
        <w:rPr>
          <w:rFonts w:ascii="Times New Roman" w:eastAsia="宋体" w:hAnsi="Times New Roman" w:cs="宋体"/>
          <w:color w:val="auto"/>
          <w:sz w:val="24"/>
          <w:szCs w:val="24"/>
          <w:highlight w:val="none"/>
        </w:rPr>
      </w:pPr>
      <w:r>
        <w:rPr>
          <w:rFonts w:ascii="Times New Roman" w:eastAsia="宋体" w:hAnsi="Times New Roman" w:cs="宋体" w:hint="eastAsia"/>
          <w:color w:val="auto"/>
          <w:sz w:val="24"/>
          <w:szCs w:val="24"/>
          <w:highlight w:val="none"/>
        </w:rPr>
        <w:t>1）在修建市区道路管道时，应主要采用单侧修建的方式，并需根据业务发展需求进行跨路管道的建设。当规划道路红线之间的距离大于等于40m时或单侧修建时跨路管道无法满足业务发展需求时，可在道路两侧修建通信管道。</w:t>
      </w:r>
    </w:p>
    <w:p>
      <w:pPr>
        <w:spacing w:line="240" w:lineRule="auto"/>
        <w:ind w:left="0" w:firstLine="480"/>
        <w:rPr>
          <w:rFonts w:ascii="Times New Roman" w:eastAsia="宋体" w:hAnsi="Times New Roman" w:cs="宋体"/>
          <w:color w:val="auto"/>
          <w:sz w:val="24"/>
          <w:szCs w:val="24"/>
          <w:highlight w:val="none"/>
        </w:rPr>
      </w:pPr>
      <w:r>
        <w:rPr>
          <w:rFonts w:ascii="Times New Roman" w:eastAsia="宋体" w:hAnsi="Times New Roman" w:cs="宋体" w:hint="eastAsia"/>
          <w:color w:val="auto"/>
          <w:sz w:val="24"/>
          <w:szCs w:val="24"/>
          <w:highlight w:val="none"/>
        </w:rPr>
        <w:t>2）市政道路管道宜建筑在人行道或绿化带下，次选慢车道下，不宜建筑在快车道下。当市政管道建筑在快车道下时，每隔一定距离需从人（手）孔将管孔引出至人行道或绿化带，并在人行道或绿化带增设手孔。</w:t>
      </w:r>
    </w:p>
    <w:p>
      <w:pPr>
        <w:spacing w:line="240" w:lineRule="auto"/>
        <w:ind w:left="0" w:firstLine="480"/>
        <w:rPr>
          <w:rFonts w:ascii="Times New Roman" w:eastAsia="宋体" w:hAnsi="Times New Roman" w:cs="宋体"/>
          <w:color w:val="auto"/>
          <w:sz w:val="24"/>
          <w:szCs w:val="24"/>
          <w:highlight w:val="none"/>
        </w:rPr>
      </w:pPr>
      <w:r>
        <w:rPr>
          <w:rFonts w:ascii="Times New Roman" w:eastAsia="宋体" w:hAnsi="Times New Roman" w:cs="宋体" w:hint="eastAsia"/>
          <w:color w:val="auto"/>
          <w:sz w:val="24"/>
          <w:szCs w:val="24"/>
          <w:highlight w:val="none"/>
        </w:rPr>
        <w:t>3）核心节点、骨干汇聚节点（如：县公司节点）应至少保证两处不同方向的进局管道，普通汇聚节点有条件时需尽量采用两处不同方向的管道进局方式。核心节点、汇聚节点采用两处不同方向的出局管道时，局前人（手）孔间需有连通管道。</w:t>
      </w:r>
    </w:p>
    <w:p>
      <w:pPr>
        <w:pStyle w:val="Heading3"/>
        <w:spacing w:line="240" w:lineRule="auto"/>
        <w:ind w:left="0" w:firstLine="482"/>
        <w:rPr>
          <w:rFonts w:ascii="Times New Roman" w:eastAsia="宋体" w:hAnsi="Times New Roman" w:cstheme="majorEastAsia"/>
          <w:color w:val="auto"/>
          <w:sz w:val="24"/>
          <w:szCs w:val="24"/>
          <w:highlight w:val="none"/>
        </w:rPr>
      </w:pPr>
      <w:bookmarkStart w:id="43" w:name="_Toc21872"/>
      <w:r>
        <w:rPr>
          <w:rFonts w:ascii="Times New Roman" w:eastAsia="宋体" w:hAnsi="Times New Roman" w:cstheme="majorEastAsia" w:hint="eastAsia"/>
          <w:color w:val="auto"/>
          <w:sz w:val="24"/>
          <w:szCs w:val="24"/>
          <w:highlight w:val="none"/>
        </w:rPr>
        <w:t>二、传输管道规划方案</w:t>
      </w:r>
      <w:bookmarkEnd w:id="43"/>
    </w:p>
    <w:p>
      <w:pPr>
        <w:spacing w:line="240" w:lineRule="auto"/>
        <w:ind w:left="0" w:firstLine="480"/>
        <w:rPr>
          <w:rFonts w:ascii="Times New Roman" w:eastAsia="宋体" w:hAnsi="Times New Roman" w:hint="eastAsia"/>
          <w:color w:val="auto"/>
          <w:sz w:val="24"/>
          <w:szCs w:val="24"/>
          <w:highlight w:val="none"/>
        </w:rPr>
      </w:pPr>
      <w:r>
        <w:rPr>
          <w:rFonts w:ascii="Times New Roman" w:eastAsia="宋体" w:hAnsi="Times New Roman" w:hint="eastAsia"/>
          <w:color w:val="auto"/>
          <w:sz w:val="24"/>
          <w:szCs w:val="24"/>
          <w:highlight w:val="none"/>
        </w:rPr>
        <w:t>传输管道作为城市基础设施之一，规划建设需满足国家及地方市政设施建设的相关规定。利用道路或建筑物的新建、改建机会，积极跟进管道建设，不断提高市政道路传输管道覆盖率，传输管道建设应积极采用各电信企业共建共享方式，减少重复建设，降低投资造价，有条件情况下需分设共建管道的人（手）孔，管道的容量应预留备用管孔，满足终期光缆敷设需求。根据各电信企业传输管道新建需求统筹规划，规划新建8孔传输管道17.127公里，传输管道12孔规划建设828.384公里，传输管道16孔规划建设652.997公里，各区县规划情况如下表：</w:t>
      </w:r>
    </w:p>
    <w:p>
      <w:pPr>
        <w:spacing w:line="240" w:lineRule="auto"/>
        <w:ind w:left="0" w:firstLine="422"/>
        <w:jc w:val="center"/>
        <w:rPr>
          <w:rFonts w:ascii="Times New Roman" w:eastAsia="宋体" w:hAnsi="Times New Roman" w:cs="宋体" w:hint="eastAsia"/>
          <w:b/>
          <w:bCs/>
          <w:color w:val="auto"/>
          <w:szCs w:val="21"/>
          <w:highlight w:val="none"/>
        </w:rPr>
      </w:pPr>
      <w:r>
        <w:rPr>
          <w:rFonts w:ascii="Times New Roman" w:eastAsia="宋体" w:hAnsi="Times New Roman" w:cs="宋体" w:hint="eastAsia"/>
          <w:b/>
          <w:bCs/>
          <w:color w:val="auto"/>
          <w:szCs w:val="21"/>
          <w:highlight w:val="none"/>
        </w:rPr>
        <w:t>表8</w:t>
      </w:r>
      <w:r>
        <w:rPr>
          <w:rFonts w:ascii="Times New Roman" w:eastAsia="宋体" w:hAnsi="Times New Roman" w:cs="宋体"/>
          <w:b/>
          <w:bCs/>
          <w:color w:val="auto"/>
          <w:szCs w:val="21"/>
          <w:highlight w:val="none"/>
        </w:rPr>
        <w:t>-3</w:t>
      </w:r>
      <w:r>
        <w:rPr>
          <w:rFonts w:ascii="Times New Roman" w:eastAsia="宋体" w:hAnsi="Times New Roman" w:cs="宋体" w:hint="eastAsia"/>
          <w:b/>
          <w:bCs/>
          <w:color w:val="auto"/>
          <w:szCs w:val="21"/>
          <w:highlight w:val="none"/>
        </w:rPr>
        <w:t xml:space="preserve">  电信企业通信管道需求表</w:t>
      </w:r>
    </w:p>
    <w:tbl>
      <w:tblPr>
        <w:tblStyle w:val="TableNormal"/>
        <w:tblW w:w="63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tblGrid>
        <w:gridCol w:w="857"/>
        <w:gridCol w:w="1773"/>
        <w:gridCol w:w="1935"/>
        <w:gridCol w:w="1810"/>
      </w:tblGrid>
      <w:tr>
        <w:tblPrEx>
          <w:tblW w:w="63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Ex>
        <w:trPr>
          <w:cantSplit/>
          <w:trHeight w:val="553"/>
          <w:tblHeader/>
          <w:jc w:val="center"/>
        </w:trPr>
        <w:tc>
          <w:tcPr>
            <w:tcW w:w="857" w:type="dxa"/>
            <w:tcBorders>
              <w:tl2br w:val="nil"/>
              <w:tr2bl w:val="nil"/>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eastAsia="宋体" w:hAnsi="Times New Roman" w:hint="eastAsia"/>
                <w:color w:val="auto"/>
                <w:sz w:val="21"/>
                <w:szCs w:val="21"/>
                <w:highlight w:val="none"/>
              </w:rPr>
            </w:pPr>
            <w:r>
              <w:rPr>
                <w:rFonts w:ascii="Times New Roman" w:eastAsia="宋体" w:hAnsi="Times New Roman" w:hint="eastAsia"/>
                <w:color w:val="auto"/>
                <w:sz w:val="21"/>
                <w:szCs w:val="21"/>
                <w:highlight w:val="none"/>
                <w:lang w:val="en-US" w:eastAsia="zh-CN"/>
              </w:rPr>
              <w:t>区县</w:t>
            </w:r>
          </w:p>
        </w:tc>
        <w:tc>
          <w:tcPr>
            <w:tcW w:w="1773" w:type="dxa"/>
            <w:tcBorders>
              <w:tl2br w:val="nil"/>
              <w:tr2bl w:val="nil"/>
            </w:tcBorders>
            <w:shd w:val="clear" w:color="auto" w:fill="auto"/>
            <w:tcMar>
              <w:top w:w="10" w:type="dxa"/>
              <w:left w:w="10" w:type="dxa"/>
              <w:right w:w="1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eastAsia="宋体" w:hAnsi="Times New Roman" w:hint="eastAsia"/>
                <w:color w:val="auto"/>
                <w:sz w:val="21"/>
                <w:szCs w:val="21"/>
                <w:highlight w:val="none"/>
              </w:rPr>
            </w:pPr>
            <w:r>
              <w:rPr>
                <w:rFonts w:ascii="Times New Roman" w:eastAsia="宋体" w:hAnsi="Times New Roman" w:hint="eastAsia"/>
                <w:color w:val="auto"/>
                <w:sz w:val="21"/>
                <w:szCs w:val="21"/>
                <w:highlight w:val="none"/>
                <w:lang w:val="en-US" w:eastAsia="zh-CN"/>
              </w:rPr>
              <w:t>8孔管程（公里）</w:t>
            </w:r>
          </w:p>
        </w:tc>
        <w:tc>
          <w:tcPr>
            <w:tcW w:w="1935" w:type="dxa"/>
            <w:tcBorders>
              <w:tl2br w:val="nil"/>
              <w:tr2bl w:val="nil"/>
            </w:tcBorders>
            <w:shd w:val="clear" w:color="auto" w:fill="auto"/>
            <w:tcMar>
              <w:top w:w="10" w:type="dxa"/>
              <w:left w:w="10" w:type="dxa"/>
              <w:right w:w="1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eastAsia="宋体" w:hAnsi="Times New Roman" w:hint="eastAsia"/>
                <w:color w:val="auto"/>
                <w:sz w:val="21"/>
                <w:szCs w:val="21"/>
                <w:highlight w:val="none"/>
              </w:rPr>
            </w:pPr>
            <w:r>
              <w:rPr>
                <w:rFonts w:ascii="Times New Roman" w:eastAsia="宋体" w:hAnsi="Times New Roman" w:hint="eastAsia"/>
                <w:color w:val="auto"/>
                <w:sz w:val="21"/>
                <w:szCs w:val="21"/>
                <w:highlight w:val="none"/>
                <w:lang w:val="en-US" w:eastAsia="zh-CN"/>
              </w:rPr>
              <w:t>12孔管程（公里）</w:t>
            </w:r>
          </w:p>
        </w:tc>
        <w:tc>
          <w:tcPr>
            <w:tcW w:w="1810" w:type="dxa"/>
            <w:tcBorders>
              <w:tl2br w:val="nil"/>
              <w:tr2bl w:val="nil"/>
            </w:tcBorders>
            <w:shd w:val="clear" w:color="auto" w:fill="auto"/>
            <w:tcMar>
              <w:top w:w="10" w:type="dxa"/>
              <w:left w:w="10" w:type="dxa"/>
              <w:right w:w="1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eastAsia="宋体" w:hAnsi="Times New Roman" w:hint="eastAsia"/>
                <w:color w:val="auto"/>
                <w:sz w:val="21"/>
                <w:szCs w:val="21"/>
                <w:highlight w:val="none"/>
              </w:rPr>
            </w:pPr>
            <w:r>
              <w:rPr>
                <w:rFonts w:ascii="Times New Roman" w:eastAsia="宋体" w:hAnsi="Times New Roman" w:hint="eastAsia"/>
                <w:color w:val="auto"/>
                <w:sz w:val="21"/>
                <w:szCs w:val="21"/>
                <w:highlight w:val="none"/>
                <w:lang w:val="en-US" w:eastAsia="zh-CN"/>
              </w:rPr>
              <w:t>16孔管程（公里）</w:t>
            </w:r>
          </w:p>
        </w:tc>
      </w:tr>
      <w:tr>
        <w:tblPrEx>
          <w:tblW w:w="6375" w:type="dxa"/>
          <w:jc w:val="center"/>
          <w:tblCellMar>
            <w:top w:w="0" w:type="dxa"/>
            <w:left w:w="0" w:type="dxa"/>
            <w:bottom w:w="0" w:type="dxa"/>
            <w:right w:w="0" w:type="dxa"/>
          </w:tblCellMar>
        </w:tblPrEx>
        <w:trPr>
          <w:cantSplit/>
          <w:trHeight w:val="374"/>
          <w:tblHeader/>
          <w:jc w:val="center"/>
        </w:trPr>
        <w:tc>
          <w:tcPr>
            <w:tcW w:w="857" w:type="dxa"/>
            <w:tcBorders>
              <w:tl2br w:val="nil"/>
              <w:tr2bl w:val="nil"/>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eastAsia="宋体" w:hAnsi="Times New Roman" w:hint="eastAsia"/>
                <w:color w:val="auto"/>
                <w:sz w:val="21"/>
                <w:szCs w:val="21"/>
                <w:highlight w:val="none"/>
              </w:rPr>
            </w:pPr>
            <w:r>
              <w:rPr>
                <w:rFonts w:ascii="Times New Roman" w:eastAsia="宋体" w:hAnsi="Times New Roman" w:hint="eastAsia"/>
                <w:color w:val="auto"/>
                <w:sz w:val="21"/>
                <w:szCs w:val="21"/>
                <w:highlight w:val="none"/>
                <w:lang w:val="en-US" w:eastAsia="zh-CN"/>
              </w:rPr>
              <w:t>北流市</w:t>
            </w:r>
          </w:p>
        </w:tc>
        <w:tc>
          <w:tcPr>
            <w:tcW w:w="1773"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eastAsia="宋体" w:hAnsi="Times New Roman" w:hint="eastAsia"/>
                <w:color w:val="auto"/>
                <w:sz w:val="21"/>
                <w:szCs w:val="21"/>
                <w:highlight w:val="none"/>
              </w:rPr>
            </w:pPr>
            <w:r>
              <w:rPr>
                <w:rFonts w:ascii="Times New Roman" w:eastAsia="宋体" w:hAnsi="Times New Roman" w:hint="eastAsia"/>
                <w:color w:val="auto"/>
                <w:sz w:val="21"/>
                <w:szCs w:val="21"/>
                <w:highlight w:val="none"/>
                <w:lang w:val="en-US" w:eastAsia="zh-CN"/>
              </w:rPr>
              <w:t>0.35</w:t>
            </w:r>
          </w:p>
        </w:tc>
        <w:tc>
          <w:tcPr>
            <w:tcW w:w="1935" w:type="dxa"/>
            <w:tcBorders>
              <w:top w:val="single" w:sz="4" w:space="0" w:color="auto"/>
              <w:left w:val="nil"/>
              <w:bottom w:val="single" w:sz="4" w:space="0" w:color="auto"/>
              <w:right w:val="single" w:sz="4" w:space="0" w:color="auto"/>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eastAsia="宋体" w:hAnsi="Times New Roman" w:hint="eastAsia"/>
                <w:color w:val="auto"/>
                <w:sz w:val="21"/>
                <w:szCs w:val="21"/>
                <w:highlight w:val="none"/>
              </w:rPr>
            </w:pPr>
            <w:r>
              <w:rPr>
                <w:rFonts w:ascii="Times New Roman" w:eastAsia="宋体" w:hAnsi="Times New Roman" w:hint="eastAsia"/>
                <w:color w:val="auto"/>
                <w:sz w:val="21"/>
                <w:szCs w:val="21"/>
                <w:highlight w:val="none"/>
                <w:lang w:val="en-US" w:eastAsia="zh-CN"/>
              </w:rPr>
              <w:t>168.033</w:t>
            </w:r>
          </w:p>
        </w:tc>
        <w:tc>
          <w:tcPr>
            <w:tcW w:w="1810" w:type="dxa"/>
            <w:tcBorders>
              <w:top w:val="single" w:sz="4" w:space="0" w:color="auto"/>
              <w:left w:val="nil"/>
              <w:bottom w:val="single" w:sz="4" w:space="0" w:color="auto"/>
              <w:right w:val="single" w:sz="4" w:space="0" w:color="auto"/>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eastAsia="宋体" w:hAnsi="Times New Roman" w:hint="eastAsia"/>
                <w:color w:val="auto"/>
                <w:sz w:val="21"/>
                <w:szCs w:val="21"/>
                <w:highlight w:val="none"/>
              </w:rPr>
            </w:pPr>
            <w:r>
              <w:rPr>
                <w:rFonts w:ascii="Times New Roman" w:eastAsia="宋体" w:hAnsi="Times New Roman" w:hint="eastAsia"/>
                <w:color w:val="auto"/>
                <w:sz w:val="21"/>
                <w:szCs w:val="21"/>
                <w:highlight w:val="none"/>
                <w:lang w:val="en-US" w:eastAsia="zh-CN"/>
              </w:rPr>
              <w:t>89.05</w:t>
            </w:r>
          </w:p>
        </w:tc>
      </w:tr>
      <w:tr>
        <w:tblPrEx>
          <w:tblW w:w="6375" w:type="dxa"/>
          <w:jc w:val="center"/>
          <w:tblCellMar>
            <w:top w:w="0" w:type="dxa"/>
            <w:left w:w="0" w:type="dxa"/>
            <w:bottom w:w="0" w:type="dxa"/>
            <w:right w:w="0" w:type="dxa"/>
          </w:tblCellMar>
        </w:tblPrEx>
        <w:trPr>
          <w:cantSplit/>
          <w:trHeight w:val="374"/>
          <w:tblHeader/>
          <w:jc w:val="center"/>
        </w:trPr>
        <w:tc>
          <w:tcPr>
            <w:tcW w:w="857" w:type="dxa"/>
            <w:tcBorders>
              <w:tl2br w:val="nil"/>
              <w:tr2bl w:val="nil"/>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eastAsia="宋体" w:hAnsi="Times New Roman" w:hint="eastAsia"/>
                <w:color w:val="auto"/>
                <w:sz w:val="21"/>
                <w:szCs w:val="21"/>
                <w:highlight w:val="none"/>
              </w:rPr>
            </w:pPr>
            <w:r>
              <w:rPr>
                <w:rFonts w:ascii="Times New Roman" w:eastAsia="宋体" w:hAnsi="Times New Roman" w:hint="eastAsia"/>
                <w:color w:val="auto"/>
                <w:sz w:val="21"/>
                <w:szCs w:val="21"/>
                <w:highlight w:val="none"/>
                <w:lang w:val="en-US" w:eastAsia="zh-CN"/>
              </w:rPr>
              <w:t>博白县</w:t>
            </w:r>
          </w:p>
        </w:tc>
        <w:tc>
          <w:tcPr>
            <w:tcW w:w="1773" w:type="dxa"/>
            <w:tcBorders>
              <w:top w:val="nil"/>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eastAsia="宋体" w:hAnsi="Times New Roman" w:hint="eastAsia"/>
                <w:color w:val="auto"/>
                <w:sz w:val="21"/>
                <w:szCs w:val="21"/>
                <w:highlight w:val="none"/>
              </w:rPr>
            </w:pPr>
            <w:r>
              <w:rPr>
                <w:rFonts w:ascii="Times New Roman" w:eastAsia="宋体" w:hAnsi="Times New Roman" w:hint="eastAsia"/>
                <w:color w:val="auto"/>
                <w:sz w:val="21"/>
                <w:szCs w:val="21"/>
                <w:highlight w:val="none"/>
                <w:lang w:val="en-US" w:eastAsia="zh-CN"/>
              </w:rPr>
              <w:t>0</w:t>
            </w:r>
          </w:p>
        </w:tc>
        <w:tc>
          <w:tcPr>
            <w:tcW w:w="1935" w:type="dxa"/>
            <w:tcBorders>
              <w:top w:val="nil"/>
              <w:left w:val="nil"/>
              <w:bottom w:val="single" w:sz="4" w:space="0" w:color="auto"/>
              <w:right w:val="single" w:sz="4" w:space="0" w:color="auto"/>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eastAsia="宋体" w:hAnsi="Times New Roman" w:hint="eastAsia"/>
                <w:color w:val="auto"/>
                <w:sz w:val="21"/>
                <w:szCs w:val="21"/>
                <w:highlight w:val="none"/>
              </w:rPr>
            </w:pPr>
            <w:r>
              <w:rPr>
                <w:rFonts w:ascii="Times New Roman" w:eastAsia="宋体" w:hAnsi="Times New Roman" w:hint="eastAsia"/>
                <w:color w:val="auto"/>
                <w:sz w:val="21"/>
                <w:szCs w:val="21"/>
                <w:highlight w:val="none"/>
                <w:lang w:val="en-US" w:eastAsia="zh-CN"/>
              </w:rPr>
              <w:t>145.703</w:t>
            </w:r>
          </w:p>
        </w:tc>
        <w:tc>
          <w:tcPr>
            <w:tcW w:w="1810" w:type="dxa"/>
            <w:tcBorders>
              <w:top w:val="nil"/>
              <w:left w:val="nil"/>
              <w:bottom w:val="single" w:sz="4" w:space="0" w:color="auto"/>
              <w:right w:val="single" w:sz="4" w:space="0" w:color="auto"/>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eastAsia="宋体" w:hAnsi="Times New Roman" w:hint="eastAsia"/>
                <w:color w:val="auto"/>
                <w:sz w:val="21"/>
                <w:szCs w:val="21"/>
                <w:highlight w:val="none"/>
              </w:rPr>
            </w:pPr>
            <w:r>
              <w:rPr>
                <w:rFonts w:ascii="Times New Roman" w:eastAsia="宋体" w:hAnsi="Times New Roman" w:hint="eastAsia"/>
                <w:color w:val="auto"/>
                <w:sz w:val="21"/>
                <w:szCs w:val="21"/>
                <w:highlight w:val="none"/>
                <w:lang w:val="en-US" w:eastAsia="zh-CN"/>
              </w:rPr>
              <w:t>95.452</w:t>
            </w:r>
          </w:p>
        </w:tc>
      </w:tr>
      <w:tr>
        <w:tblPrEx>
          <w:tblW w:w="6375" w:type="dxa"/>
          <w:jc w:val="center"/>
          <w:tblCellMar>
            <w:top w:w="0" w:type="dxa"/>
            <w:left w:w="0" w:type="dxa"/>
            <w:bottom w:w="0" w:type="dxa"/>
            <w:right w:w="0" w:type="dxa"/>
          </w:tblCellMar>
        </w:tblPrEx>
        <w:trPr>
          <w:cantSplit/>
          <w:trHeight w:val="374"/>
          <w:tblHeader/>
          <w:jc w:val="center"/>
        </w:trPr>
        <w:tc>
          <w:tcPr>
            <w:tcW w:w="857" w:type="dxa"/>
            <w:tcBorders>
              <w:tl2br w:val="nil"/>
              <w:tr2bl w:val="nil"/>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eastAsia="宋体" w:hAnsi="Times New Roman" w:hint="eastAsia"/>
                <w:color w:val="auto"/>
                <w:sz w:val="21"/>
                <w:szCs w:val="21"/>
                <w:highlight w:val="none"/>
              </w:rPr>
            </w:pPr>
            <w:r>
              <w:rPr>
                <w:rFonts w:ascii="Times New Roman" w:eastAsia="宋体" w:hAnsi="Times New Roman" w:hint="eastAsia"/>
                <w:color w:val="auto"/>
                <w:sz w:val="21"/>
                <w:szCs w:val="21"/>
                <w:highlight w:val="none"/>
                <w:lang w:val="en-US" w:eastAsia="zh-CN"/>
              </w:rPr>
              <w:t>福绵区</w:t>
            </w:r>
          </w:p>
        </w:tc>
        <w:tc>
          <w:tcPr>
            <w:tcW w:w="1773" w:type="dxa"/>
            <w:tcBorders>
              <w:top w:val="nil"/>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eastAsia="宋体" w:hAnsi="Times New Roman" w:hint="eastAsia"/>
                <w:color w:val="auto"/>
                <w:sz w:val="21"/>
                <w:szCs w:val="21"/>
                <w:highlight w:val="none"/>
              </w:rPr>
            </w:pPr>
            <w:r>
              <w:rPr>
                <w:rFonts w:ascii="Times New Roman" w:eastAsia="宋体" w:hAnsi="Times New Roman" w:hint="eastAsia"/>
                <w:color w:val="auto"/>
                <w:sz w:val="21"/>
                <w:szCs w:val="21"/>
                <w:highlight w:val="none"/>
                <w:lang w:val="en-US" w:eastAsia="zh-CN"/>
              </w:rPr>
              <w:t>0</w:t>
            </w:r>
          </w:p>
        </w:tc>
        <w:tc>
          <w:tcPr>
            <w:tcW w:w="1935" w:type="dxa"/>
            <w:tcBorders>
              <w:top w:val="nil"/>
              <w:left w:val="nil"/>
              <w:bottom w:val="single" w:sz="4" w:space="0" w:color="auto"/>
              <w:right w:val="single" w:sz="4" w:space="0" w:color="auto"/>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eastAsia="宋体" w:hAnsi="Times New Roman" w:hint="eastAsia"/>
                <w:color w:val="auto"/>
                <w:sz w:val="21"/>
                <w:szCs w:val="21"/>
                <w:highlight w:val="none"/>
              </w:rPr>
            </w:pPr>
            <w:r>
              <w:rPr>
                <w:rFonts w:ascii="Times New Roman" w:eastAsia="宋体" w:hAnsi="Times New Roman" w:hint="eastAsia"/>
                <w:color w:val="auto"/>
                <w:sz w:val="21"/>
                <w:szCs w:val="21"/>
                <w:highlight w:val="none"/>
                <w:lang w:val="en-US" w:eastAsia="zh-CN"/>
              </w:rPr>
              <w:t>64.278</w:t>
            </w:r>
          </w:p>
        </w:tc>
        <w:tc>
          <w:tcPr>
            <w:tcW w:w="1810" w:type="dxa"/>
            <w:tcBorders>
              <w:top w:val="nil"/>
              <w:left w:val="nil"/>
              <w:bottom w:val="single" w:sz="4" w:space="0" w:color="auto"/>
              <w:right w:val="single" w:sz="4" w:space="0" w:color="auto"/>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eastAsia="宋体" w:hAnsi="Times New Roman" w:hint="eastAsia"/>
                <w:color w:val="auto"/>
                <w:sz w:val="21"/>
                <w:szCs w:val="21"/>
                <w:highlight w:val="none"/>
              </w:rPr>
            </w:pPr>
            <w:r>
              <w:rPr>
                <w:rFonts w:ascii="Times New Roman" w:eastAsia="宋体" w:hAnsi="Times New Roman" w:hint="eastAsia"/>
                <w:color w:val="auto"/>
                <w:sz w:val="21"/>
                <w:szCs w:val="21"/>
                <w:highlight w:val="none"/>
                <w:lang w:val="en-US" w:eastAsia="zh-CN"/>
              </w:rPr>
              <w:t>41.66</w:t>
            </w:r>
          </w:p>
        </w:tc>
      </w:tr>
      <w:tr>
        <w:tblPrEx>
          <w:tblW w:w="6375" w:type="dxa"/>
          <w:jc w:val="center"/>
          <w:tblCellMar>
            <w:top w:w="0" w:type="dxa"/>
            <w:left w:w="0" w:type="dxa"/>
            <w:bottom w:w="0" w:type="dxa"/>
            <w:right w:w="0" w:type="dxa"/>
          </w:tblCellMar>
        </w:tblPrEx>
        <w:trPr>
          <w:cantSplit/>
          <w:trHeight w:val="374"/>
          <w:tblHeader/>
          <w:jc w:val="center"/>
        </w:trPr>
        <w:tc>
          <w:tcPr>
            <w:tcW w:w="857" w:type="dxa"/>
            <w:tcBorders>
              <w:tl2br w:val="nil"/>
              <w:tr2bl w:val="nil"/>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eastAsia="宋体" w:hAnsi="Times New Roman" w:hint="eastAsia"/>
                <w:color w:val="auto"/>
                <w:sz w:val="21"/>
                <w:szCs w:val="21"/>
                <w:highlight w:val="none"/>
              </w:rPr>
            </w:pPr>
            <w:r>
              <w:rPr>
                <w:rFonts w:ascii="Times New Roman" w:eastAsia="宋体" w:hAnsi="Times New Roman" w:hint="eastAsia"/>
                <w:color w:val="auto"/>
                <w:sz w:val="21"/>
                <w:szCs w:val="21"/>
                <w:highlight w:val="none"/>
                <w:lang w:val="en-US" w:eastAsia="zh-CN"/>
              </w:rPr>
              <w:t>陆川县</w:t>
            </w:r>
          </w:p>
        </w:tc>
        <w:tc>
          <w:tcPr>
            <w:tcW w:w="1773" w:type="dxa"/>
            <w:tcBorders>
              <w:top w:val="nil"/>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eastAsia="宋体" w:hAnsi="Times New Roman" w:hint="eastAsia"/>
                <w:color w:val="auto"/>
                <w:sz w:val="21"/>
                <w:szCs w:val="21"/>
                <w:highlight w:val="none"/>
              </w:rPr>
            </w:pPr>
            <w:r>
              <w:rPr>
                <w:rFonts w:ascii="Times New Roman" w:eastAsia="宋体" w:hAnsi="Times New Roman" w:hint="eastAsia"/>
                <w:color w:val="auto"/>
                <w:sz w:val="21"/>
                <w:szCs w:val="21"/>
                <w:highlight w:val="none"/>
                <w:lang w:val="en-US" w:eastAsia="zh-CN"/>
              </w:rPr>
              <w:t>1.1</w:t>
            </w:r>
          </w:p>
        </w:tc>
        <w:tc>
          <w:tcPr>
            <w:tcW w:w="1935" w:type="dxa"/>
            <w:tcBorders>
              <w:top w:val="nil"/>
              <w:left w:val="nil"/>
              <w:bottom w:val="single" w:sz="4" w:space="0" w:color="auto"/>
              <w:right w:val="single" w:sz="4" w:space="0" w:color="auto"/>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eastAsia="宋体" w:hAnsi="Times New Roman" w:hint="eastAsia"/>
                <w:color w:val="auto"/>
                <w:sz w:val="21"/>
                <w:szCs w:val="21"/>
                <w:highlight w:val="none"/>
              </w:rPr>
            </w:pPr>
            <w:r>
              <w:rPr>
                <w:rFonts w:ascii="Times New Roman" w:eastAsia="宋体" w:hAnsi="Times New Roman" w:hint="eastAsia"/>
                <w:color w:val="auto"/>
                <w:sz w:val="21"/>
                <w:szCs w:val="21"/>
                <w:highlight w:val="none"/>
                <w:lang w:val="en-US" w:eastAsia="zh-CN"/>
              </w:rPr>
              <w:t>62.758</w:t>
            </w:r>
          </w:p>
        </w:tc>
        <w:tc>
          <w:tcPr>
            <w:tcW w:w="1810" w:type="dxa"/>
            <w:tcBorders>
              <w:top w:val="nil"/>
              <w:left w:val="nil"/>
              <w:bottom w:val="single" w:sz="4" w:space="0" w:color="auto"/>
              <w:right w:val="single" w:sz="4" w:space="0" w:color="auto"/>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eastAsia="宋体" w:hAnsi="Times New Roman" w:hint="eastAsia"/>
                <w:color w:val="auto"/>
                <w:sz w:val="21"/>
                <w:szCs w:val="21"/>
                <w:highlight w:val="none"/>
              </w:rPr>
            </w:pPr>
            <w:r>
              <w:rPr>
                <w:rFonts w:ascii="Times New Roman" w:eastAsia="宋体" w:hAnsi="Times New Roman" w:hint="eastAsia"/>
                <w:color w:val="auto"/>
                <w:sz w:val="21"/>
                <w:szCs w:val="21"/>
                <w:highlight w:val="none"/>
                <w:lang w:val="en-US" w:eastAsia="zh-CN"/>
              </w:rPr>
              <w:t>52.925</w:t>
            </w:r>
          </w:p>
        </w:tc>
      </w:tr>
      <w:tr>
        <w:tblPrEx>
          <w:tblW w:w="6375" w:type="dxa"/>
          <w:jc w:val="center"/>
          <w:tblCellMar>
            <w:top w:w="0" w:type="dxa"/>
            <w:left w:w="0" w:type="dxa"/>
            <w:bottom w:w="0" w:type="dxa"/>
            <w:right w:w="0" w:type="dxa"/>
          </w:tblCellMar>
        </w:tblPrEx>
        <w:trPr>
          <w:cantSplit/>
          <w:trHeight w:val="374"/>
          <w:tblHeader/>
          <w:jc w:val="center"/>
        </w:trPr>
        <w:tc>
          <w:tcPr>
            <w:tcW w:w="857" w:type="dxa"/>
            <w:tcBorders>
              <w:tl2br w:val="nil"/>
              <w:tr2bl w:val="nil"/>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eastAsia="宋体" w:hAnsi="Times New Roman" w:hint="eastAsia"/>
                <w:color w:val="auto"/>
                <w:sz w:val="21"/>
                <w:szCs w:val="21"/>
                <w:highlight w:val="none"/>
              </w:rPr>
            </w:pPr>
            <w:r>
              <w:rPr>
                <w:rFonts w:ascii="Times New Roman" w:eastAsia="宋体" w:hAnsi="Times New Roman" w:hint="eastAsia"/>
                <w:color w:val="auto"/>
                <w:sz w:val="21"/>
                <w:szCs w:val="21"/>
                <w:highlight w:val="none"/>
                <w:lang w:val="en-US" w:eastAsia="zh-CN"/>
              </w:rPr>
              <w:t>容县</w:t>
            </w:r>
          </w:p>
        </w:tc>
        <w:tc>
          <w:tcPr>
            <w:tcW w:w="1773" w:type="dxa"/>
            <w:tcBorders>
              <w:top w:val="nil"/>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eastAsia="宋体" w:hAnsi="Times New Roman" w:hint="eastAsia"/>
                <w:color w:val="auto"/>
                <w:sz w:val="21"/>
                <w:szCs w:val="21"/>
                <w:highlight w:val="none"/>
              </w:rPr>
            </w:pPr>
            <w:r>
              <w:rPr>
                <w:rFonts w:ascii="Times New Roman" w:eastAsia="宋体" w:hAnsi="Times New Roman" w:hint="eastAsia"/>
                <w:color w:val="auto"/>
                <w:sz w:val="21"/>
                <w:szCs w:val="21"/>
                <w:highlight w:val="none"/>
                <w:lang w:val="en-US" w:eastAsia="zh-CN"/>
              </w:rPr>
              <w:t>1.2</w:t>
            </w:r>
          </w:p>
        </w:tc>
        <w:tc>
          <w:tcPr>
            <w:tcW w:w="1935" w:type="dxa"/>
            <w:tcBorders>
              <w:top w:val="nil"/>
              <w:left w:val="nil"/>
              <w:bottom w:val="single" w:sz="4" w:space="0" w:color="auto"/>
              <w:right w:val="single" w:sz="4" w:space="0" w:color="auto"/>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eastAsia="宋体" w:hAnsi="Times New Roman" w:hint="eastAsia"/>
                <w:color w:val="auto"/>
                <w:sz w:val="21"/>
                <w:szCs w:val="21"/>
                <w:highlight w:val="none"/>
              </w:rPr>
            </w:pPr>
            <w:r>
              <w:rPr>
                <w:rFonts w:ascii="Times New Roman" w:eastAsia="宋体" w:hAnsi="Times New Roman" w:hint="eastAsia"/>
                <w:color w:val="auto"/>
                <w:sz w:val="21"/>
                <w:szCs w:val="21"/>
                <w:highlight w:val="none"/>
                <w:lang w:val="en-US" w:eastAsia="zh-CN"/>
              </w:rPr>
              <w:t>115.388</w:t>
            </w:r>
          </w:p>
        </w:tc>
        <w:tc>
          <w:tcPr>
            <w:tcW w:w="1810" w:type="dxa"/>
            <w:tcBorders>
              <w:top w:val="nil"/>
              <w:left w:val="nil"/>
              <w:bottom w:val="single" w:sz="4" w:space="0" w:color="auto"/>
              <w:right w:val="single" w:sz="4" w:space="0" w:color="auto"/>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eastAsia="宋体" w:hAnsi="Times New Roman" w:hint="eastAsia"/>
                <w:color w:val="auto"/>
                <w:sz w:val="21"/>
                <w:szCs w:val="21"/>
                <w:highlight w:val="none"/>
              </w:rPr>
            </w:pPr>
            <w:r>
              <w:rPr>
                <w:rFonts w:ascii="Times New Roman" w:eastAsia="宋体" w:hAnsi="Times New Roman" w:hint="eastAsia"/>
                <w:color w:val="auto"/>
                <w:sz w:val="21"/>
                <w:szCs w:val="21"/>
                <w:highlight w:val="none"/>
                <w:lang w:val="en-US" w:eastAsia="zh-CN"/>
              </w:rPr>
              <w:t>93.422</w:t>
            </w:r>
          </w:p>
        </w:tc>
      </w:tr>
      <w:tr>
        <w:tblPrEx>
          <w:tblW w:w="6375" w:type="dxa"/>
          <w:jc w:val="center"/>
          <w:tblCellMar>
            <w:top w:w="0" w:type="dxa"/>
            <w:left w:w="0" w:type="dxa"/>
            <w:bottom w:w="0" w:type="dxa"/>
            <w:right w:w="0" w:type="dxa"/>
          </w:tblCellMar>
        </w:tblPrEx>
        <w:trPr>
          <w:cantSplit/>
          <w:trHeight w:val="374"/>
          <w:tblHeader/>
          <w:jc w:val="center"/>
        </w:trPr>
        <w:tc>
          <w:tcPr>
            <w:tcW w:w="857" w:type="dxa"/>
            <w:tcBorders>
              <w:tl2br w:val="nil"/>
              <w:tr2bl w:val="nil"/>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eastAsia="宋体" w:hAnsi="Times New Roman" w:hint="eastAsia"/>
                <w:color w:val="auto"/>
                <w:sz w:val="21"/>
                <w:szCs w:val="21"/>
                <w:highlight w:val="none"/>
              </w:rPr>
            </w:pPr>
            <w:r>
              <w:rPr>
                <w:rFonts w:ascii="Times New Roman" w:eastAsia="宋体" w:hAnsi="Times New Roman" w:hint="eastAsia"/>
                <w:color w:val="auto"/>
                <w:sz w:val="21"/>
                <w:szCs w:val="21"/>
                <w:highlight w:val="none"/>
                <w:lang w:val="en-US" w:eastAsia="zh-CN"/>
              </w:rPr>
              <w:t>兴业县</w:t>
            </w:r>
          </w:p>
        </w:tc>
        <w:tc>
          <w:tcPr>
            <w:tcW w:w="1773" w:type="dxa"/>
            <w:tcBorders>
              <w:top w:val="nil"/>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eastAsia="宋体" w:hAnsi="Times New Roman" w:hint="eastAsia"/>
                <w:color w:val="auto"/>
                <w:sz w:val="21"/>
                <w:szCs w:val="21"/>
                <w:highlight w:val="none"/>
              </w:rPr>
            </w:pPr>
            <w:r>
              <w:rPr>
                <w:rFonts w:ascii="Times New Roman" w:eastAsia="宋体" w:hAnsi="Times New Roman" w:hint="eastAsia"/>
                <w:color w:val="auto"/>
                <w:sz w:val="21"/>
                <w:szCs w:val="21"/>
                <w:highlight w:val="none"/>
                <w:lang w:val="en-US" w:eastAsia="zh-CN"/>
              </w:rPr>
              <w:t>10.6</w:t>
            </w:r>
          </w:p>
        </w:tc>
        <w:tc>
          <w:tcPr>
            <w:tcW w:w="1935" w:type="dxa"/>
            <w:tcBorders>
              <w:top w:val="nil"/>
              <w:left w:val="nil"/>
              <w:bottom w:val="single" w:sz="4" w:space="0" w:color="auto"/>
              <w:right w:val="single" w:sz="4" w:space="0" w:color="auto"/>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eastAsia="宋体" w:hAnsi="Times New Roman" w:hint="eastAsia"/>
                <w:color w:val="auto"/>
                <w:sz w:val="21"/>
                <w:szCs w:val="21"/>
                <w:highlight w:val="none"/>
              </w:rPr>
            </w:pPr>
            <w:r>
              <w:rPr>
                <w:rFonts w:ascii="Times New Roman" w:eastAsia="宋体" w:hAnsi="Times New Roman" w:hint="eastAsia"/>
                <w:color w:val="auto"/>
                <w:sz w:val="21"/>
                <w:szCs w:val="21"/>
                <w:highlight w:val="none"/>
                <w:lang w:val="en-US" w:eastAsia="zh-CN"/>
              </w:rPr>
              <w:t>42.63</w:t>
            </w:r>
          </w:p>
        </w:tc>
        <w:tc>
          <w:tcPr>
            <w:tcW w:w="1810" w:type="dxa"/>
            <w:tcBorders>
              <w:top w:val="nil"/>
              <w:left w:val="nil"/>
              <w:bottom w:val="single" w:sz="4" w:space="0" w:color="auto"/>
              <w:right w:val="single" w:sz="4" w:space="0" w:color="auto"/>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eastAsia="宋体" w:hAnsi="Times New Roman" w:hint="eastAsia"/>
                <w:color w:val="auto"/>
                <w:sz w:val="21"/>
                <w:szCs w:val="21"/>
                <w:highlight w:val="none"/>
              </w:rPr>
            </w:pPr>
            <w:r>
              <w:rPr>
                <w:rFonts w:ascii="Times New Roman" w:eastAsia="宋体" w:hAnsi="Times New Roman" w:hint="eastAsia"/>
                <w:color w:val="auto"/>
                <w:sz w:val="21"/>
                <w:szCs w:val="21"/>
                <w:highlight w:val="none"/>
                <w:lang w:val="en-US" w:eastAsia="zh-CN"/>
              </w:rPr>
              <w:t>43.752</w:t>
            </w:r>
          </w:p>
        </w:tc>
      </w:tr>
      <w:tr>
        <w:tblPrEx>
          <w:tblW w:w="6375" w:type="dxa"/>
          <w:jc w:val="center"/>
          <w:tblCellMar>
            <w:top w:w="0" w:type="dxa"/>
            <w:left w:w="0" w:type="dxa"/>
            <w:bottom w:w="0" w:type="dxa"/>
            <w:right w:w="0" w:type="dxa"/>
          </w:tblCellMar>
        </w:tblPrEx>
        <w:trPr>
          <w:cantSplit/>
          <w:trHeight w:val="374"/>
          <w:tblHeader/>
          <w:jc w:val="center"/>
        </w:trPr>
        <w:tc>
          <w:tcPr>
            <w:tcW w:w="857" w:type="dxa"/>
            <w:tcBorders>
              <w:tl2br w:val="nil"/>
              <w:tr2bl w:val="nil"/>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eastAsia="宋体" w:hAnsi="Times New Roman" w:hint="eastAsia"/>
                <w:color w:val="auto"/>
                <w:sz w:val="21"/>
                <w:szCs w:val="21"/>
                <w:highlight w:val="none"/>
              </w:rPr>
            </w:pPr>
            <w:r>
              <w:rPr>
                <w:rFonts w:ascii="Times New Roman" w:eastAsia="宋体" w:hAnsi="Times New Roman" w:hint="eastAsia"/>
                <w:color w:val="auto"/>
                <w:sz w:val="21"/>
                <w:szCs w:val="21"/>
                <w:highlight w:val="none"/>
                <w:lang w:val="en-US" w:eastAsia="zh-CN"/>
              </w:rPr>
              <w:t>玉州区</w:t>
            </w:r>
          </w:p>
        </w:tc>
        <w:tc>
          <w:tcPr>
            <w:tcW w:w="1773" w:type="dxa"/>
            <w:tcBorders>
              <w:top w:val="nil"/>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eastAsia="宋体" w:hAnsi="Times New Roman" w:hint="eastAsia"/>
                <w:color w:val="auto"/>
                <w:sz w:val="21"/>
                <w:szCs w:val="21"/>
                <w:highlight w:val="none"/>
              </w:rPr>
            </w:pPr>
            <w:r>
              <w:rPr>
                <w:rFonts w:ascii="Times New Roman" w:eastAsia="宋体" w:hAnsi="Times New Roman" w:hint="eastAsia"/>
                <w:color w:val="auto"/>
                <w:sz w:val="21"/>
                <w:szCs w:val="21"/>
                <w:highlight w:val="none"/>
                <w:lang w:val="en-US" w:eastAsia="zh-CN"/>
              </w:rPr>
              <w:t>3.877</w:t>
            </w:r>
          </w:p>
        </w:tc>
        <w:tc>
          <w:tcPr>
            <w:tcW w:w="1935" w:type="dxa"/>
            <w:tcBorders>
              <w:top w:val="nil"/>
              <w:left w:val="nil"/>
              <w:bottom w:val="single" w:sz="4" w:space="0" w:color="auto"/>
              <w:right w:val="single" w:sz="4" w:space="0" w:color="auto"/>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eastAsia="宋体" w:hAnsi="Times New Roman" w:hint="eastAsia"/>
                <w:color w:val="auto"/>
                <w:sz w:val="21"/>
                <w:szCs w:val="21"/>
                <w:highlight w:val="none"/>
              </w:rPr>
            </w:pPr>
            <w:r>
              <w:rPr>
                <w:rFonts w:ascii="Times New Roman" w:eastAsia="宋体" w:hAnsi="Times New Roman" w:hint="eastAsia"/>
                <w:color w:val="auto"/>
                <w:sz w:val="21"/>
                <w:szCs w:val="21"/>
                <w:highlight w:val="none"/>
                <w:lang w:val="en-US" w:eastAsia="zh-CN"/>
              </w:rPr>
              <w:t>229.594</w:t>
            </w:r>
          </w:p>
        </w:tc>
        <w:tc>
          <w:tcPr>
            <w:tcW w:w="1810" w:type="dxa"/>
            <w:tcBorders>
              <w:top w:val="nil"/>
              <w:left w:val="nil"/>
              <w:bottom w:val="single" w:sz="4" w:space="0" w:color="auto"/>
              <w:right w:val="single" w:sz="4" w:space="0" w:color="auto"/>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eastAsia="宋体" w:hAnsi="Times New Roman" w:hint="eastAsia"/>
                <w:color w:val="auto"/>
                <w:sz w:val="21"/>
                <w:szCs w:val="21"/>
                <w:highlight w:val="none"/>
              </w:rPr>
            </w:pPr>
            <w:r>
              <w:rPr>
                <w:rFonts w:ascii="Times New Roman" w:eastAsia="宋体" w:hAnsi="Times New Roman" w:hint="eastAsia"/>
                <w:color w:val="auto"/>
                <w:sz w:val="21"/>
                <w:szCs w:val="21"/>
                <w:highlight w:val="none"/>
                <w:lang w:val="en-US" w:eastAsia="zh-CN"/>
              </w:rPr>
              <w:t>236.736</w:t>
            </w:r>
          </w:p>
        </w:tc>
      </w:tr>
      <w:tr>
        <w:tblPrEx>
          <w:tblW w:w="6375" w:type="dxa"/>
          <w:jc w:val="center"/>
          <w:tblCellMar>
            <w:top w:w="0" w:type="dxa"/>
            <w:left w:w="0" w:type="dxa"/>
            <w:bottom w:w="0" w:type="dxa"/>
            <w:right w:w="0" w:type="dxa"/>
          </w:tblCellMar>
        </w:tblPrEx>
        <w:trPr>
          <w:cantSplit/>
          <w:trHeight w:val="374"/>
          <w:tblHeader/>
          <w:jc w:val="center"/>
        </w:trPr>
        <w:tc>
          <w:tcPr>
            <w:tcW w:w="857" w:type="dxa"/>
            <w:tcBorders>
              <w:tl2br w:val="nil"/>
              <w:tr2bl w:val="nil"/>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eastAsia="宋体" w:hAnsi="Times New Roman" w:hint="eastAsia"/>
                <w:color w:val="auto"/>
                <w:sz w:val="21"/>
                <w:szCs w:val="21"/>
                <w:highlight w:val="none"/>
              </w:rPr>
            </w:pPr>
            <w:r>
              <w:rPr>
                <w:rFonts w:ascii="Times New Roman" w:eastAsia="宋体" w:hAnsi="Times New Roman" w:hint="eastAsia"/>
                <w:color w:val="auto"/>
                <w:sz w:val="21"/>
                <w:szCs w:val="21"/>
                <w:highlight w:val="none"/>
                <w:lang w:val="en-US" w:eastAsia="zh-CN"/>
              </w:rPr>
              <w:t>合计</w:t>
            </w:r>
          </w:p>
        </w:tc>
        <w:tc>
          <w:tcPr>
            <w:tcW w:w="1773" w:type="dxa"/>
            <w:tcBorders>
              <w:top w:val="nil"/>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eastAsia="宋体" w:hAnsi="Times New Roman" w:hint="eastAsia"/>
                <w:color w:val="auto"/>
                <w:sz w:val="21"/>
                <w:szCs w:val="21"/>
                <w:highlight w:val="none"/>
              </w:rPr>
            </w:pPr>
            <w:r>
              <w:rPr>
                <w:rFonts w:ascii="Times New Roman" w:eastAsia="宋体" w:hAnsi="Times New Roman" w:hint="eastAsia"/>
                <w:color w:val="auto"/>
                <w:sz w:val="21"/>
                <w:szCs w:val="21"/>
                <w:highlight w:val="none"/>
                <w:lang w:val="en-US" w:eastAsia="zh-CN"/>
              </w:rPr>
              <w:t>17.127</w:t>
            </w:r>
          </w:p>
        </w:tc>
        <w:tc>
          <w:tcPr>
            <w:tcW w:w="1935" w:type="dxa"/>
            <w:tcBorders>
              <w:top w:val="nil"/>
              <w:left w:val="nil"/>
              <w:bottom w:val="single" w:sz="4" w:space="0" w:color="auto"/>
              <w:right w:val="single" w:sz="4" w:space="0" w:color="auto"/>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eastAsia="宋体" w:hAnsi="Times New Roman" w:hint="eastAsia"/>
                <w:color w:val="auto"/>
                <w:sz w:val="21"/>
                <w:szCs w:val="21"/>
                <w:highlight w:val="none"/>
              </w:rPr>
            </w:pPr>
            <w:r>
              <w:rPr>
                <w:rFonts w:ascii="Times New Roman" w:eastAsia="宋体" w:hAnsi="Times New Roman" w:hint="eastAsia"/>
                <w:color w:val="auto"/>
                <w:sz w:val="21"/>
                <w:szCs w:val="21"/>
                <w:highlight w:val="none"/>
                <w:lang w:val="en-US" w:eastAsia="zh-CN"/>
              </w:rPr>
              <w:t>828.384</w:t>
            </w:r>
          </w:p>
        </w:tc>
        <w:tc>
          <w:tcPr>
            <w:tcW w:w="1810" w:type="dxa"/>
            <w:tcBorders>
              <w:top w:val="nil"/>
              <w:left w:val="nil"/>
              <w:bottom w:val="single" w:sz="4" w:space="0" w:color="auto"/>
              <w:right w:val="single" w:sz="4" w:space="0" w:color="auto"/>
            </w:tcBorders>
            <w:shd w:val="clear" w:color="auto" w:fill="auto"/>
            <w:noWrap/>
            <w:tcMar>
              <w:top w:w="10" w:type="dxa"/>
              <w:left w:w="10" w:type="dxa"/>
              <w:right w:w="1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eastAsia="宋体" w:hAnsi="Times New Roman" w:hint="eastAsia"/>
                <w:color w:val="auto"/>
                <w:sz w:val="21"/>
                <w:szCs w:val="21"/>
                <w:highlight w:val="none"/>
              </w:rPr>
            </w:pPr>
            <w:r>
              <w:rPr>
                <w:rFonts w:ascii="Times New Roman" w:eastAsia="宋体" w:hAnsi="Times New Roman" w:hint="eastAsia"/>
                <w:color w:val="auto"/>
                <w:sz w:val="21"/>
                <w:szCs w:val="21"/>
                <w:highlight w:val="none"/>
                <w:lang w:val="en-US" w:eastAsia="zh-CN"/>
              </w:rPr>
              <w:t>652.997</w:t>
            </w:r>
          </w:p>
        </w:tc>
      </w:tr>
    </w:tbl>
    <w:p>
      <w:pPr>
        <w:spacing w:line="240" w:lineRule="auto"/>
        <w:ind w:left="0" w:firstLine="422"/>
        <w:jc w:val="center"/>
        <w:rPr>
          <w:rFonts w:ascii="Times New Roman" w:eastAsia="宋体" w:hAnsi="Times New Roman" w:cs="宋体" w:hint="eastAsia"/>
          <w:b/>
          <w:bCs/>
          <w:color w:val="auto"/>
          <w:szCs w:val="21"/>
          <w:highlight w:val="none"/>
        </w:rPr>
      </w:pPr>
    </w:p>
    <w:p>
      <w:pPr>
        <w:spacing w:line="240" w:lineRule="auto"/>
        <w:ind w:firstLine="420"/>
        <w:rPr>
          <w:rFonts w:ascii="Times New Roman" w:eastAsia="宋体" w:hAnsi="Times New Roman" w:cs="宋体"/>
          <w:color w:val="auto"/>
          <w:szCs w:val="21"/>
          <w:highlight w:val="none"/>
        </w:rPr>
      </w:pPr>
      <w:r>
        <w:rPr>
          <w:rFonts w:ascii="Times New Roman" w:eastAsia="宋体" w:hAnsi="Times New Roman" w:cs="宋体"/>
          <w:color w:val="auto"/>
          <w:szCs w:val="21"/>
          <w:highlight w:val="none"/>
        </w:rPr>
        <w:br w:type="page"/>
      </w:r>
    </w:p>
    <w:p>
      <w:pPr>
        <w:pStyle w:val="Heading2"/>
        <w:spacing w:before="260" w:after="260" w:line="240" w:lineRule="auto"/>
        <w:ind w:left="0" w:firstLine="643"/>
        <w:rPr>
          <w:rFonts w:ascii="Times New Roman" w:eastAsia="宋体" w:hAnsi="Times New Roman"/>
          <w:color w:val="auto"/>
          <w:sz w:val="32"/>
          <w:szCs w:val="32"/>
          <w:highlight w:val="none"/>
        </w:rPr>
      </w:pPr>
      <w:bookmarkStart w:id="44" w:name="_Toc45106322"/>
      <w:bookmarkStart w:id="45" w:name="_Toc18516"/>
      <w:r>
        <w:rPr>
          <w:rFonts w:ascii="Times New Roman" w:eastAsia="宋体" w:hAnsi="Times New Roman" w:hint="eastAsia"/>
          <w:color w:val="auto"/>
          <w:sz w:val="32"/>
          <w:szCs w:val="32"/>
          <w:highlight w:val="none"/>
        </w:rPr>
        <w:t>第九章 光交节点基础设施规划</w:t>
      </w:r>
      <w:bookmarkEnd w:id="44"/>
      <w:bookmarkEnd w:id="45"/>
    </w:p>
    <w:p>
      <w:pPr>
        <w:pStyle w:val="Heading3"/>
        <w:spacing w:line="240" w:lineRule="auto"/>
        <w:ind w:left="0" w:firstLine="482"/>
        <w:rPr>
          <w:rFonts w:ascii="Times New Roman" w:eastAsia="宋体" w:hAnsi="Times New Roman" w:cstheme="majorEastAsia"/>
          <w:color w:val="auto"/>
          <w:sz w:val="24"/>
          <w:szCs w:val="24"/>
          <w:highlight w:val="none"/>
        </w:rPr>
      </w:pPr>
      <w:bookmarkStart w:id="46" w:name="_Toc8273"/>
      <w:r>
        <w:rPr>
          <w:rFonts w:ascii="Times New Roman" w:eastAsia="宋体" w:hAnsi="Times New Roman" w:cstheme="majorEastAsia" w:hint="eastAsia"/>
          <w:color w:val="auto"/>
          <w:sz w:val="24"/>
          <w:szCs w:val="24"/>
          <w:highlight w:val="none"/>
        </w:rPr>
        <w:t>一、光交节点规划原则</w:t>
      </w:r>
      <w:bookmarkEnd w:id="46"/>
    </w:p>
    <w:p>
      <w:pPr>
        <w:spacing w:line="240" w:lineRule="auto"/>
        <w:ind w:left="0" w:firstLine="480"/>
        <w:rPr>
          <w:rFonts w:ascii="Times New Roman" w:eastAsia="宋体" w:hAnsi="Times New Roman"/>
          <w:bCs/>
          <w:color w:val="auto"/>
          <w:sz w:val="24"/>
          <w:szCs w:val="24"/>
          <w:highlight w:val="none"/>
        </w:rPr>
      </w:pPr>
      <w:r>
        <w:rPr>
          <w:rFonts w:ascii="Times New Roman" w:eastAsia="宋体" w:hAnsi="Times New Roman" w:hint="eastAsia"/>
          <w:bCs/>
          <w:color w:val="auto"/>
          <w:sz w:val="24"/>
          <w:szCs w:val="24"/>
          <w:highlight w:val="none"/>
        </w:rPr>
        <w:t>1、主干光节点规划原则</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（1）主干光节点覆盖范围应依附城市规划，以城市的主要街道、河流、公园、绿化带及其他妨碍光缆线路穿行的大型障碍物为界，考虑用户密度与有效管辖区域并结合城市中现有通信管道的实际情况进行划分。</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（2）主干光节点的设置应考虑周边道路管道、地理位置、安全保障能力、机房空间等因素，优先设置在用户密度中心靠各基础电信企业汇聚节点一侧。</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（3）建议主干光节点设置在光缆路由方便的城市主干道路附近。城市密集区域主干光节点覆盖半径控制在300-500米，城市边缘区域范围覆盖范围在500-1000米。</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（4）设置在室外的主干光节点，安全性是需要考虑的基本因素，要求防水、防尘、防潮，另外对其机械及物理性能也应重点关注。</w:t>
      </w:r>
    </w:p>
    <w:p>
      <w:pPr>
        <w:spacing w:line="240" w:lineRule="auto"/>
        <w:ind w:left="0" w:firstLine="480"/>
        <w:rPr>
          <w:rFonts w:ascii="Times New Roman" w:eastAsia="宋体" w:hAnsi="Times New Roman"/>
          <w:bCs/>
          <w:color w:val="auto"/>
          <w:sz w:val="24"/>
          <w:szCs w:val="24"/>
          <w:highlight w:val="none"/>
        </w:rPr>
      </w:pPr>
      <w:r>
        <w:rPr>
          <w:rFonts w:ascii="Times New Roman" w:eastAsia="宋体" w:hAnsi="Times New Roman" w:hint="eastAsia"/>
          <w:bCs/>
          <w:color w:val="auto"/>
          <w:sz w:val="24"/>
          <w:szCs w:val="24"/>
          <w:highlight w:val="none"/>
        </w:rPr>
        <w:t>2、主干光节点设置原则</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（1）避开高压走廊和电磁重干扰区。</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（2）避开高温、腐蚀和易燃易爆区。</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（3）避开地势低洼区，并应在百年一遇洪水警戒水位的上方。</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（4）符合城市建设规划，不妨碍交通和不影响市容观瞻。</w:t>
      </w:r>
    </w:p>
    <w:p>
      <w:pPr>
        <w:pStyle w:val="Heading3"/>
        <w:spacing w:line="240" w:lineRule="auto"/>
        <w:ind w:left="0" w:firstLine="482"/>
        <w:rPr>
          <w:rFonts w:ascii="Times New Roman" w:eastAsia="宋体" w:hAnsi="Times New Roman" w:cstheme="majorEastAsia"/>
          <w:color w:val="auto"/>
          <w:sz w:val="24"/>
          <w:szCs w:val="24"/>
          <w:highlight w:val="none"/>
        </w:rPr>
      </w:pPr>
      <w:bookmarkStart w:id="47" w:name="_Toc24530"/>
      <w:r>
        <w:rPr>
          <w:rFonts w:ascii="Times New Roman" w:eastAsia="宋体" w:hAnsi="Times New Roman" w:cstheme="majorEastAsia" w:hint="eastAsia"/>
          <w:color w:val="auto"/>
          <w:sz w:val="24"/>
          <w:szCs w:val="24"/>
          <w:highlight w:val="none"/>
        </w:rPr>
        <w:t>二、光交节点规划方案</w:t>
      </w:r>
      <w:bookmarkEnd w:id="47"/>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光交节点规划应面向各电信企业业务需求，统筹规划，一次规划到位，分</w:t>
      </w:r>
      <w:r>
        <w:rPr>
          <w:rFonts w:ascii="Times New Roman" w:eastAsia="宋体" w:hAnsi="Times New Roman" w:hint="eastAsia"/>
          <w:color w:val="auto"/>
          <w:sz w:val="24"/>
          <w:szCs w:val="24"/>
          <w:highlight w:val="none"/>
          <w:lang w:val="en-US" w:eastAsia="zh-CN"/>
        </w:rPr>
        <w:t>步</w:t>
      </w:r>
      <w:r>
        <w:rPr>
          <w:rFonts w:ascii="Times New Roman" w:eastAsia="宋体" w:hAnsi="Times New Roman" w:hint="eastAsia"/>
          <w:color w:val="auto"/>
          <w:sz w:val="24"/>
          <w:szCs w:val="24"/>
          <w:highlight w:val="none"/>
        </w:rPr>
        <w:t>实施，避免重复建设光交节点，结合管道规划需求，在城区和县城主干道路、次干道路、支路等路段设立光交节点，在乡镇视发展情况结合业务发展和用户分布合理设置光交节点，根据各电信企业业务的情况合理部署光交节点容量，尽量做到一次部署到位，避免后期的重复扩容，光交节点规划建设主干光交节点28</w:t>
      </w:r>
      <w:r>
        <w:rPr>
          <w:rFonts w:ascii="Times New Roman" w:eastAsia="宋体" w:hAnsi="Times New Roman"/>
          <w:color w:val="auto"/>
          <w:sz w:val="24"/>
          <w:szCs w:val="24"/>
          <w:highlight w:val="none"/>
        </w:rPr>
        <w:t>8</w:t>
      </w:r>
      <w:r>
        <w:rPr>
          <w:rFonts w:ascii="Times New Roman" w:eastAsia="宋体" w:hAnsi="Times New Roman" w:hint="eastAsia"/>
          <w:color w:val="auto"/>
          <w:sz w:val="24"/>
          <w:szCs w:val="24"/>
          <w:highlight w:val="none"/>
        </w:rPr>
        <w:t>芯容量</w:t>
      </w:r>
      <w:r>
        <w:rPr>
          <w:rFonts w:ascii="Times New Roman" w:eastAsia="宋体" w:hAnsi="Times New Roman"/>
          <w:color w:val="auto"/>
          <w:sz w:val="24"/>
          <w:szCs w:val="24"/>
          <w:highlight w:val="none"/>
        </w:rPr>
        <w:t>301</w:t>
      </w:r>
      <w:r>
        <w:rPr>
          <w:rFonts w:ascii="Times New Roman" w:eastAsia="宋体" w:hAnsi="Times New Roman" w:hint="eastAsia"/>
          <w:color w:val="auto"/>
          <w:sz w:val="24"/>
          <w:szCs w:val="24"/>
          <w:highlight w:val="none"/>
        </w:rPr>
        <w:t>个，</w:t>
      </w:r>
      <w:r>
        <w:rPr>
          <w:rFonts w:ascii="Times New Roman" w:eastAsia="宋体" w:hAnsi="Times New Roman"/>
          <w:color w:val="auto"/>
          <w:sz w:val="24"/>
          <w:szCs w:val="24"/>
          <w:highlight w:val="none"/>
        </w:rPr>
        <w:t>576</w:t>
      </w:r>
      <w:r>
        <w:rPr>
          <w:rFonts w:ascii="Times New Roman" w:eastAsia="宋体" w:hAnsi="Times New Roman" w:hint="eastAsia"/>
          <w:color w:val="auto"/>
          <w:sz w:val="24"/>
          <w:szCs w:val="24"/>
          <w:highlight w:val="none"/>
        </w:rPr>
        <w:t>芯容量</w:t>
      </w:r>
      <w:r>
        <w:rPr>
          <w:rFonts w:ascii="Times New Roman" w:eastAsia="宋体" w:hAnsi="Times New Roman"/>
          <w:color w:val="auto"/>
          <w:sz w:val="24"/>
          <w:szCs w:val="24"/>
          <w:highlight w:val="none"/>
        </w:rPr>
        <w:t>397</w:t>
      </w:r>
      <w:r>
        <w:rPr>
          <w:rFonts w:ascii="Times New Roman" w:eastAsia="宋体" w:hAnsi="Times New Roman" w:hint="eastAsia"/>
          <w:color w:val="auto"/>
          <w:sz w:val="24"/>
          <w:szCs w:val="24"/>
          <w:highlight w:val="none"/>
        </w:rPr>
        <w:t>个、1152芯容量3</w:t>
      </w:r>
      <w:r>
        <w:rPr>
          <w:rFonts w:ascii="Times New Roman" w:eastAsia="宋体" w:hAnsi="Times New Roman"/>
          <w:color w:val="auto"/>
          <w:sz w:val="24"/>
          <w:szCs w:val="24"/>
          <w:highlight w:val="none"/>
        </w:rPr>
        <w:t>9</w:t>
      </w:r>
      <w:r>
        <w:rPr>
          <w:rFonts w:ascii="Times New Roman" w:eastAsia="宋体" w:hAnsi="Times New Roman" w:hint="eastAsia"/>
          <w:color w:val="auto"/>
          <w:sz w:val="24"/>
          <w:szCs w:val="24"/>
          <w:highlight w:val="none"/>
        </w:rPr>
        <w:t>个，主干光交节点及各区县分布规划情况如下表：</w:t>
      </w:r>
    </w:p>
    <w:p>
      <w:pPr>
        <w:spacing w:line="240" w:lineRule="auto"/>
        <w:ind w:left="0" w:firstLine="422"/>
        <w:jc w:val="center"/>
        <w:rPr>
          <w:rFonts w:ascii="Times New Roman" w:eastAsia="宋体" w:hAnsi="Times New Roman" w:hint="eastAsia"/>
          <w:b/>
          <w:bCs/>
          <w:color w:val="auto"/>
          <w:szCs w:val="21"/>
          <w:highlight w:val="none"/>
        </w:rPr>
      </w:pPr>
      <w:r>
        <w:rPr>
          <w:rFonts w:ascii="Times New Roman" w:eastAsia="宋体" w:hAnsi="Times New Roman" w:hint="eastAsia"/>
          <w:b/>
          <w:bCs/>
          <w:color w:val="auto"/>
          <w:szCs w:val="21"/>
          <w:highlight w:val="none"/>
        </w:rPr>
        <w:t>表9</w:t>
      </w:r>
      <w:r>
        <w:rPr>
          <w:rFonts w:ascii="Times New Roman" w:eastAsia="宋体" w:hAnsi="Times New Roman"/>
          <w:b/>
          <w:bCs/>
          <w:color w:val="auto"/>
          <w:szCs w:val="21"/>
          <w:highlight w:val="none"/>
        </w:rPr>
        <w:t>-1</w:t>
      </w:r>
      <w:r>
        <w:rPr>
          <w:rFonts w:ascii="Times New Roman" w:eastAsia="宋体" w:hAnsi="Times New Roman" w:hint="eastAsia"/>
          <w:b/>
          <w:bCs/>
          <w:color w:val="auto"/>
          <w:szCs w:val="21"/>
          <w:highlight w:val="none"/>
        </w:rPr>
        <w:t xml:space="preserve">  电信企业光交节点需求表</w:t>
      </w:r>
    </w:p>
    <w:tbl>
      <w:tblPr>
        <w:tblStyle w:val="TableNormal"/>
        <w:tblW w:w="8297" w:type="dxa"/>
        <w:jc w:val="center"/>
        <w:tblCellMar>
          <w:top w:w="0" w:type="dxa"/>
          <w:left w:w="108" w:type="dxa"/>
          <w:bottom w:w="0" w:type="dxa"/>
          <w:right w:w="108" w:type="dxa"/>
        </w:tblCellMar>
      </w:tblPr>
      <w:tblGrid>
        <w:gridCol w:w="1824"/>
        <w:gridCol w:w="2086"/>
        <w:gridCol w:w="2086"/>
        <w:gridCol w:w="2301"/>
      </w:tblGrid>
      <w:tr>
        <w:tblPrEx>
          <w:tblW w:w="8297" w:type="dxa"/>
          <w:jc w:val="center"/>
          <w:tblCellMar>
            <w:top w:w="0" w:type="dxa"/>
            <w:left w:w="108" w:type="dxa"/>
            <w:bottom w:w="0" w:type="dxa"/>
            <w:right w:w="108" w:type="dxa"/>
          </w:tblCellMar>
        </w:tblPrEx>
        <w:trPr>
          <w:trHeight w:val="431"/>
          <w:jc w:val="center"/>
        </w:trPr>
        <w:tc>
          <w:tcPr>
            <w:tcW w:w="18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pPr>
              <w:widowControl/>
              <w:spacing w:line="240" w:lineRule="auto"/>
              <w:ind w:left="0" w:firstLine="0" w:firstLineChars="0"/>
              <w:jc w:val="center"/>
              <w:rPr>
                <w:rFonts w:ascii="Times New Roman" w:eastAsia="宋体" w:hAnsi="Times New Roman" w:cs="宋体"/>
                <w:b/>
                <w:bCs/>
                <w:color w:val="auto"/>
                <w:szCs w:val="21"/>
                <w:highlight w:val="none"/>
              </w:rPr>
            </w:pPr>
            <w:r>
              <w:rPr>
                <w:rFonts w:ascii="Times New Roman" w:eastAsia="宋体" w:hAnsi="Times New Roman" w:cs="宋体" w:hint="eastAsia"/>
                <w:b/>
                <w:bCs/>
                <w:color w:val="auto"/>
                <w:szCs w:val="21"/>
                <w:highlight w:val="none"/>
              </w:rPr>
              <w:t>区县</w:t>
            </w:r>
          </w:p>
        </w:tc>
        <w:tc>
          <w:tcPr>
            <w:tcW w:w="6473" w:type="dxa"/>
            <w:gridSpan w:val="3"/>
            <w:tcBorders>
              <w:top w:val="single" w:sz="4" w:space="0" w:color="auto"/>
              <w:left w:val="nil"/>
              <w:bottom w:val="single" w:sz="4" w:space="0" w:color="auto"/>
              <w:right w:val="single" w:sz="4" w:space="0" w:color="auto"/>
            </w:tcBorders>
            <w:shd w:val="clear" w:color="auto" w:fill="auto"/>
            <w:noWrap/>
            <w:vAlign w:val="center"/>
          </w:tcPr>
          <w:p>
            <w:pPr>
              <w:widowControl/>
              <w:spacing w:line="240" w:lineRule="auto"/>
              <w:ind w:left="0" w:firstLine="0" w:firstLineChars="0"/>
              <w:jc w:val="center"/>
              <w:rPr>
                <w:rFonts w:ascii="Times New Roman" w:eastAsia="宋体" w:hAnsi="Times New Roman" w:cs="宋体"/>
                <w:b/>
                <w:bCs/>
                <w:color w:val="auto"/>
                <w:szCs w:val="21"/>
                <w:highlight w:val="none"/>
              </w:rPr>
            </w:pPr>
            <w:r>
              <w:rPr>
                <w:rFonts w:ascii="Times New Roman" w:eastAsia="宋体" w:hAnsi="Times New Roman" w:cs="宋体" w:hint="eastAsia"/>
                <w:b/>
                <w:bCs/>
                <w:color w:val="auto"/>
                <w:szCs w:val="21"/>
                <w:highlight w:val="none"/>
              </w:rPr>
              <w:t>主干光节点（个）</w:t>
            </w:r>
          </w:p>
        </w:tc>
      </w:tr>
      <w:tr>
        <w:tblPrEx>
          <w:tblW w:w="8297" w:type="dxa"/>
          <w:jc w:val="center"/>
          <w:tblCellMar>
            <w:top w:w="0" w:type="dxa"/>
            <w:left w:w="108" w:type="dxa"/>
            <w:bottom w:w="0" w:type="dxa"/>
            <w:right w:w="108" w:type="dxa"/>
          </w:tblCellMar>
        </w:tblPrEx>
        <w:trPr>
          <w:trHeight w:val="575"/>
          <w:jc w:val="center"/>
        </w:trPr>
        <w:tc>
          <w:tcPr>
            <w:tcW w:w="1824" w:type="dxa"/>
            <w:vMerge/>
            <w:tcBorders>
              <w:top w:val="single" w:sz="4" w:space="0" w:color="auto"/>
              <w:left w:val="single" w:sz="4" w:space="0" w:color="auto"/>
              <w:bottom w:val="single" w:sz="4" w:space="0" w:color="auto"/>
              <w:right w:val="single" w:sz="4" w:space="0" w:color="auto"/>
            </w:tcBorders>
            <w:vAlign w:val="center"/>
          </w:tcPr>
          <w:p>
            <w:pPr>
              <w:widowControl/>
              <w:spacing w:line="240" w:lineRule="auto"/>
              <w:ind w:left="0" w:firstLine="0" w:firstLineChars="0"/>
              <w:jc w:val="center"/>
              <w:rPr>
                <w:rFonts w:ascii="Times New Roman" w:eastAsia="宋体" w:hAnsi="Times New Roman" w:cs="宋体"/>
                <w:b/>
                <w:bCs/>
                <w:color w:val="auto"/>
                <w:szCs w:val="21"/>
                <w:highlight w:val="none"/>
              </w:rPr>
            </w:pPr>
          </w:p>
        </w:tc>
        <w:tc>
          <w:tcPr>
            <w:tcW w:w="2086" w:type="dxa"/>
            <w:tcBorders>
              <w:top w:val="nil"/>
              <w:left w:val="nil"/>
              <w:bottom w:val="single" w:sz="4" w:space="0" w:color="auto"/>
              <w:right w:val="single" w:sz="4" w:space="0" w:color="auto"/>
            </w:tcBorders>
            <w:shd w:val="clear" w:color="auto" w:fill="auto"/>
            <w:noWrap/>
            <w:vAlign w:val="center"/>
          </w:tcPr>
          <w:p>
            <w:pPr>
              <w:widowControl/>
              <w:spacing w:line="240" w:lineRule="auto"/>
              <w:ind w:left="0" w:firstLine="0" w:firstLineChars="0"/>
              <w:jc w:val="center"/>
              <w:rPr>
                <w:rFonts w:ascii="Times New Roman" w:eastAsia="宋体" w:hAnsi="Times New Roman" w:cs="宋体"/>
                <w:b/>
                <w:bCs/>
                <w:color w:val="auto"/>
                <w:szCs w:val="21"/>
                <w:highlight w:val="none"/>
              </w:rPr>
            </w:pPr>
            <w:r>
              <w:rPr>
                <w:rFonts w:ascii="Times New Roman" w:eastAsia="宋体" w:hAnsi="Times New Roman" w:cs="宋体" w:hint="eastAsia"/>
                <w:b/>
                <w:bCs/>
                <w:color w:val="auto"/>
                <w:szCs w:val="21"/>
                <w:highlight w:val="none"/>
              </w:rPr>
              <w:t>288芯容量</w:t>
            </w:r>
          </w:p>
        </w:tc>
        <w:tc>
          <w:tcPr>
            <w:tcW w:w="2086" w:type="dxa"/>
            <w:tcBorders>
              <w:top w:val="nil"/>
              <w:left w:val="nil"/>
              <w:bottom w:val="single" w:sz="4" w:space="0" w:color="auto"/>
              <w:right w:val="single" w:sz="4" w:space="0" w:color="auto"/>
            </w:tcBorders>
            <w:shd w:val="clear" w:color="auto" w:fill="auto"/>
            <w:noWrap/>
            <w:vAlign w:val="center"/>
          </w:tcPr>
          <w:p>
            <w:pPr>
              <w:widowControl/>
              <w:spacing w:line="240" w:lineRule="auto"/>
              <w:ind w:left="0" w:firstLine="0" w:firstLineChars="0"/>
              <w:jc w:val="center"/>
              <w:rPr>
                <w:rFonts w:ascii="Times New Roman" w:eastAsia="宋体" w:hAnsi="Times New Roman" w:cs="宋体"/>
                <w:b/>
                <w:bCs/>
                <w:color w:val="auto"/>
                <w:szCs w:val="21"/>
                <w:highlight w:val="none"/>
              </w:rPr>
            </w:pPr>
            <w:r>
              <w:rPr>
                <w:rFonts w:ascii="Times New Roman" w:eastAsia="宋体" w:hAnsi="Times New Roman" w:cs="宋体" w:hint="eastAsia"/>
                <w:b/>
                <w:bCs/>
                <w:color w:val="auto"/>
                <w:szCs w:val="21"/>
                <w:highlight w:val="none"/>
              </w:rPr>
              <w:t>576芯容量</w:t>
            </w:r>
          </w:p>
        </w:tc>
        <w:tc>
          <w:tcPr>
            <w:tcW w:w="2301" w:type="dxa"/>
            <w:tcBorders>
              <w:top w:val="nil"/>
              <w:left w:val="nil"/>
              <w:bottom w:val="single" w:sz="4" w:space="0" w:color="auto"/>
              <w:right w:val="single" w:sz="4" w:space="0" w:color="auto"/>
            </w:tcBorders>
            <w:shd w:val="clear" w:color="auto" w:fill="auto"/>
            <w:noWrap/>
            <w:vAlign w:val="center"/>
          </w:tcPr>
          <w:p>
            <w:pPr>
              <w:widowControl/>
              <w:spacing w:line="240" w:lineRule="auto"/>
              <w:ind w:left="0" w:firstLine="0" w:firstLineChars="0"/>
              <w:jc w:val="center"/>
              <w:rPr>
                <w:rFonts w:ascii="Times New Roman" w:eastAsia="宋体" w:hAnsi="Times New Roman" w:cs="宋体"/>
                <w:b/>
                <w:bCs/>
                <w:color w:val="auto"/>
                <w:szCs w:val="21"/>
                <w:highlight w:val="none"/>
              </w:rPr>
            </w:pPr>
            <w:r>
              <w:rPr>
                <w:rFonts w:ascii="Times New Roman" w:eastAsia="宋体" w:hAnsi="Times New Roman" w:cs="宋体" w:hint="eastAsia"/>
                <w:b/>
                <w:bCs/>
                <w:color w:val="auto"/>
                <w:szCs w:val="21"/>
                <w:highlight w:val="none"/>
              </w:rPr>
              <w:t>1152芯容量</w:t>
            </w:r>
          </w:p>
        </w:tc>
      </w:tr>
      <w:tr>
        <w:tblPrEx>
          <w:tblW w:w="8297" w:type="dxa"/>
          <w:jc w:val="center"/>
          <w:tblCellMar>
            <w:top w:w="0" w:type="dxa"/>
            <w:left w:w="108" w:type="dxa"/>
            <w:bottom w:w="0" w:type="dxa"/>
            <w:right w:w="108" w:type="dxa"/>
          </w:tblCellMar>
        </w:tblPrEx>
        <w:trPr>
          <w:trHeight w:val="367"/>
          <w:jc w:val="center"/>
        </w:trPr>
        <w:tc>
          <w:tcPr>
            <w:tcW w:w="1824" w:type="dxa"/>
            <w:tcBorders>
              <w:top w:val="nil"/>
              <w:left w:val="single" w:sz="4" w:space="0" w:color="auto"/>
              <w:bottom w:val="single" w:sz="4" w:space="0" w:color="auto"/>
              <w:right w:val="single" w:sz="4" w:space="0" w:color="auto"/>
            </w:tcBorders>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hint="eastAsia"/>
                <w:color w:val="auto"/>
                <w:highlight w:val="none"/>
              </w:rPr>
              <w:t>北流市</w:t>
            </w:r>
          </w:p>
        </w:tc>
        <w:tc>
          <w:tcPr>
            <w:tcW w:w="2086" w:type="dxa"/>
            <w:tcBorders>
              <w:top w:val="nil"/>
              <w:left w:val="nil"/>
              <w:bottom w:val="single" w:sz="4" w:space="0" w:color="auto"/>
              <w:right w:val="single" w:sz="4" w:space="0" w:color="auto"/>
            </w:tcBorders>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hint="eastAsia"/>
                <w:color w:val="auto"/>
                <w:highlight w:val="none"/>
              </w:rPr>
              <w:t>33</w:t>
            </w:r>
          </w:p>
        </w:tc>
        <w:tc>
          <w:tcPr>
            <w:tcW w:w="2086" w:type="dxa"/>
            <w:tcBorders>
              <w:top w:val="nil"/>
              <w:left w:val="nil"/>
              <w:bottom w:val="single" w:sz="4" w:space="0" w:color="auto"/>
              <w:right w:val="single" w:sz="4" w:space="0" w:color="auto"/>
            </w:tcBorders>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hint="eastAsia"/>
                <w:color w:val="auto"/>
                <w:highlight w:val="none"/>
              </w:rPr>
              <w:t>75</w:t>
            </w:r>
          </w:p>
        </w:tc>
        <w:tc>
          <w:tcPr>
            <w:tcW w:w="2301" w:type="dxa"/>
            <w:tcBorders>
              <w:top w:val="nil"/>
              <w:left w:val="nil"/>
              <w:bottom w:val="single" w:sz="4" w:space="0" w:color="auto"/>
              <w:right w:val="single" w:sz="4" w:space="0" w:color="auto"/>
            </w:tcBorders>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hint="eastAsia"/>
                <w:color w:val="auto"/>
                <w:highlight w:val="none"/>
              </w:rPr>
              <w:t>7</w:t>
            </w:r>
          </w:p>
        </w:tc>
      </w:tr>
      <w:tr>
        <w:tblPrEx>
          <w:tblW w:w="8297" w:type="dxa"/>
          <w:jc w:val="center"/>
          <w:tblCellMar>
            <w:top w:w="0" w:type="dxa"/>
            <w:left w:w="108" w:type="dxa"/>
            <w:bottom w:w="0" w:type="dxa"/>
            <w:right w:w="108" w:type="dxa"/>
          </w:tblCellMar>
        </w:tblPrEx>
        <w:trPr>
          <w:trHeight w:val="367"/>
          <w:jc w:val="center"/>
        </w:trPr>
        <w:tc>
          <w:tcPr>
            <w:tcW w:w="1824" w:type="dxa"/>
            <w:tcBorders>
              <w:top w:val="nil"/>
              <w:left w:val="single" w:sz="4" w:space="0" w:color="auto"/>
              <w:bottom w:val="single" w:sz="4" w:space="0" w:color="auto"/>
              <w:right w:val="single" w:sz="4" w:space="0" w:color="auto"/>
            </w:tcBorders>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hint="eastAsia"/>
                <w:color w:val="auto"/>
                <w:highlight w:val="none"/>
              </w:rPr>
              <w:t>博白县</w:t>
            </w:r>
          </w:p>
        </w:tc>
        <w:tc>
          <w:tcPr>
            <w:tcW w:w="2086" w:type="dxa"/>
            <w:tcBorders>
              <w:top w:val="nil"/>
              <w:left w:val="nil"/>
              <w:bottom w:val="single" w:sz="4" w:space="0" w:color="auto"/>
              <w:right w:val="single" w:sz="4" w:space="0" w:color="auto"/>
            </w:tcBorders>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hint="eastAsia"/>
                <w:color w:val="auto"/>
                <w:highlight w:val="none"/>
              </w:rPr>
              <w:t>61</w:t>
            </w:r>
          </w:p>
        </w:tc>
        <w:tc>
          <w:tcPr>
            <w:tcW w:w="2086" w:type="dxa"/>
            <w:tcBorders>
              <w:top w:val="nil"/>
              <w:left w:val="nil"/>
              <w:bottom w:val="single" w:sz="4" w:space="0" w:color="auto"/>
              <w:right w:val="single" w:sz="4" w:space="0" w:color="auto"/>
            </w:tcBorders>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hint="eastAsia"/>
                <w:color w:val="auto"/>
                <w:highlight w:val="none"/>
              </w:rPr>
              <w:t>90</w:t>
            </w:r>
          </w:p>
        </w:tc>
        <w:tc>
          <w:tcPr>
            <w:tcW w:w="2301" w:type="dxa"/>
            <w:tcBorders>
              <w:top w:val="nil"/>
              <w:left w:val="nil"/>
              <w:bottom w:val="single" w:sz="4" w:space="0" w:color="auto"/>
              <w:right w:val="single" w:sz="4" w:space="0" w:color="auto"/>
            </w:tcBorders>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hint="eastAsia"/>
                <w:color w:val="auto"/>
                <w:highlight w:val="none"/>
              </w:rPr>
              <w:t>7</w:t>
            </w:r>
          </w:p>
        </w:tc>
      </w:tr>
      <w:tr>
        <w:tblPrEx>
          <w:tblW w:w="8297" w:type="dxa"/>
          <w:jc w:val="center"/>
          <w:tblCellMar>
            <w:top w:w="0" w:type="dxa"/>
            <w:left w:w="108" w:type="dxa"/>
            <w:bottom w:w="0" w:type="dxa"/>
            <w:right w:w="108" w:type="dxa"/>
          </w:tblCellMar>
        </w:tblPrEx>
        <w:trPr>
          <w:trHeight w:val="367"/>
          <w:jc w:val="center"/>
        </w:trPr>
        <w:tc>
          <w:tcPr>
            <w:tcW w:w="1824" w:type="dxa"/>
            <w:tcBorders>
              <w:top w:val="nil"/>
              <w:left w:val="single" w:sz="4" w:space="0" w:color="auto"/>
              <w:bottom w:val="single" w:sz="4" w:space="0" w:color="auto"/>
              <w:right w:val="single" w:sz="4" w:space="0" w:color="auto"/>
            </w:tcBorders>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hint="eastAsia"/>
                <w:color w:val="auto"/>
                <w:highlight w:val="none"/>
              </w:rPr>
              <w:t>福绵区</w:t>
            </w:r>
          </w:p>
        </w:tc>
        <w:tc>
          <w:tcPr>
            <w:tcW w:w="2086" w:type="dxa"/>
            <w:tcBorders>
              <w:top w:val="nil"/>
              <w:left w:val="nil"/>
              <w:bottom w:val="single" w:sz="4" w:space="0" w:color="auto"/>
              <w:right w:val="single" w:sz="4" w:space="0" w:color="auto"/>
            </w:tcBorders>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hint="eastAsia"/>
                <w:color w:val="auto"/>
                <w:highlight w:val="none"/>
              </w:rPr>
              <w:t>17</w:t>
            </w:r>
          </w:p>
        </w:tc>
        <w:tc>
          <w:tcPr>
            <w:tcW w:w="2086" w:type="dxa"/>
            <w:tcBorders>
              <w:top w:val="nil"/>
              <w:left w:val="nil"/>
              <w:bottom w:val="single" w:sz="4" w:space="0" w:color="auto"/>
              <w:right w:val="single" w:sz="4" w:space="0" w:color="auto"/>
            </w:tcBorders>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hint="eastAsia"/>
                <w:color w:val="auto"/>
                <w:highlight w:val="none"/>
              </w:rPr>
              <w:t>18</w:t>
            </w:r>
          </w:p>
        </w:tc>
        <w:tc>
          <w:tcPr>
            <w:tcW w:w="2301" w:type="dxa"/>
            <w:tcBorders>
              <w:top w:val="nil"/>
              <w:left w:val="nil"/>
              <w:bottom w:val="single" w:sz="4" w:space="0" w:color="auto"/>
              <w:right w:val="single" w:sz="4" w:space="0" w:color="auto"/>
            </w:tcBorders>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p>
        </w:tc>
      </w:tr>
      <w:tr>
        <w:tblPrEx>
          <w:tblW w:w="8297" w:type="dxa"/>
          <w:jc w:val="center"/>
          <w:tblCellMar>
            <w:top w:w="0" w:type="dxa"/>
            <w:left w:w="108" w:type="dxa"/>
            <w:bottom w:w="0" w:type="dxa"/>
            <w:right w:w="108" w:type="dxa"/>
          </w:tblCellMar>
        </w:tblPrEx>
        <w:trPr>
          <w:trHeight w:val="367"/>
          <w:jc w:val="center"/>
        </w:trPr>
        <w:tc>
          <w:tcPr>
            <w:tcW w:w="1824" w:type="dxa"/>
            <w:tcBorders>
              <w:top w:val="nil"/>
              <w:left w:val="single" w:sz="4" w:space="0" w:color="auto"/>
              <w:bottom w:val="single" w:sz="4" w:space="0" w:color="auto"/>
              <w:right w:val="single" w:sz="4" w:space="0" w:color="auto"/>
            </w:tcBorders>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hint="eastAsia"/>
                <w:color w:val="auto"/>
                <w:highlight w:val="none"/>
              </w:rPr>
              <w:t>陆川县</w:t>
            </w:r>
          </w:p>
        </w:tc>
        <w:tc>
          <w:tcPr>
            <w:tcW w:w="2086" w:type="dxa"/>
            <w:tcBorders>
              <w:top w:val="nil"/>
              <w:left w:val="nil"/>
              <w:bottom w:val="single" w:sz="4" w:space="0" w:color="auto"/>
              <w:right w:val="single" w:sz="4" w:space="0" w:color="auto"/>
            </w:tcBorders>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hint="eastAsia"/>
                <w:color w:val="auto"/>
                <w:highlight w:val="none"/>
              </w:rPr>
              <w:t>26</w:t>
            </w:r>
          </w:p>
        </w:tc>
        <w:tc>
          <w:tcPr>
            <w:tcW w:w="2086" w:type="dxa"/>
            <w:tcBorders>
              <w:top w:val="nil"/>
              <w:left w:val="nil"/>
              <w:bottom w:val="single" w:sz="4" w:space="0" w:color="auto"/>
              <w:right w:val="single" w:sz="4" w:space="0" w:color="auto"/>
            </w:tcBorders>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hint="eastAsia"/>
                <w:color w:val="auto"/>
                <w:highlight w:val="none"/>
              </w:rPr>
              <w:t>50</w:t>
            </w:r>
          </w:p>
        </w:tc>
        <w:tc>
          <w:tcPr>
            <w:tcW w:w="2301" w:type="dxa"/>
            <w:tcBorders>
              <w:top w:val="nil"/>
              <w:left w:val="nil"/>
              <w:bottom w:val="single" w:sz="4" w:space="0" w:color="auto"/>
              <w:right w:val="single" w:sz="4" w:space="0" w:color="auto"/>
            </w:tcBorders>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hint="eastAsia"/>
                <w:color w:val="auto"/>
                <w:highlight w:val="none"/>
              </w:rPr>
              <w:t>1</w:t>
            </w:r>
          </w:p>
        </w:tc>
      </w:tr>
      <w:tr>
        <w:tblPrEx>
          <w:tblW w:w="8297" w:type="dxa"/>
          <w:jc w:val="center"/>
          <w:tblCellMar>
            <w:top w:w="0" w:type="dxa"/>
            <w:left w:w="108" w:type="dxa"/>
            <w:bottom w:w="0" w:type="dxa"/>
            <w:right w:w="108" w:type="dxa"/>
          </w:tblCellMar>
        </w:tblPrEx>
        <w:trPr>
          <w:trHeight w:val="367"/>
          <w:jc w:val="center"/>
        </w:trPr>
        <w:tc>
          <w:tcPr>
            <w:tcW w:w="1824" w:type="dxa"/>
            <w:tcBorders>
              <w:top w:val="nil"/>
              <w:left w:val="single" w:sz="4" w:space="0" w:color="auto"/>
              <w:bottom w:val="single" w:sz="4" w:space="0" w:color="auto"/>
              <w:right w:val="single" w:sz="4" w:space="0" w:color="auto"/>
            </w:tcBorders>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hint="eastAsia"/>
                <w:color w:val="auto"/>
                <w:highlight w:val="none"/>
              </w:rPr>
              <w:t>容县</w:t>
            </w:r>
          </w:p>
        </w:tc>
        <w:tc>
          <w:tcPr>
            <w:tcW w:w="2086" w:type="dxa"/>
            <w:tcBorders>
              <w:top w:val="nil"/>
              <w:left w:val="nil"/>
              <w:bottom w:val="single" w:sz="4" w:space="0" w:color="auto"/>
              <w:right w:val="single" w:sz="4" w:space="0" w:color="auto"/>
            </w:tcBorders>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hint="eastAsia"/>
                <w:color w:val="auto"/>
                <w:highlight w:val="none"/>
              </w:rPr>
              <w:t>31</w:t>
            </w:r>
          </w:p>
        </w:tc>
        <w:tc>
          <w:tcPr>
            <w:tcW w:w="2086" w:type="dxa"/>
            <w:tcBorders>
              <w:top w:val="nil"/>
              <w:left w:val="nil"/>
              <w:bottom w:val="single" w:sz="4" w:space="0" w:color="auto"/>
              <w:right w:val="single" w:sz="4" w:space="0" w:color="auto"/>
            </w:tcBorders>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hint="eastAsia"/>
                <w:color w:val="auto"/>
                <w:highlight w:val="none"/>
              </w:rPr>
              <w:t>40</w:t>
            </w:r>
          </w:p>
        </w:tc>
        <w:tc>
          <w:tcPr>
            <w:tcW w:w="2301" w:type="dxa"/>
            <w:tcBorders>
              <w:top w:val="nil"/>
              <w:left w:val="nil"/>
              <w:bottom w:val="single" w:sz="4" w:space="0" w:color="auto"/>
              <w:right w:val="single" w:sz="4" w:space="0" w:color="auto"/>
            </w:tcBorders>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hint="eastAsia"/>
                <w:color w:val="auto"/>
                <w:highlight w:val="none"/>
              </w:rPr>
              <w:t>3</w:t>
            </w:r>
          </w:p>
        </w:tc>
      </w:tr>
      <w:tr>
        <w:tblPrEx>
          <w:tblW w:w="8297" w:type="dxa"/>
          <w:jc w:val="center"/>
          <w:tblCellMar>
            <w:top w:w="0" w:type="dxa"/>
            <w:left w:w="108" w:type="dxa"/>
            <w:bottom w:w="0" w:type="dxa"/>
            <w:right w:w="108" w:type="dxa"/>
          </w:tblCellMar>
        </w:tblPrEx>
        <w:trPr>
          <w:trHeight w:val="367"/>
          <w:jc w:val="center"/>
        </w:trPr>
        <w:tc>
          <w:tcPr>
            <w:tcW w:w="1824" w:type="dxa"/>
            <w:tcBorders>
              <w:top w:val="nil"/>
              <w:left w:val="single" w:sz="4" w:space="0" w:color="auto"/>
              <w:bottom w:val="single" w:sz="4" w:space="0" w:color="auto"/>
              <w:right w:val="single" w:sz="4" w:space="0" w:color="auto"/>
            </w:tcBorders>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hint="eastAsia"/>
                <w:color w:val="auto"/>
                <w:highlight w:val="none"/>
              </w:rPr>
              <w:t>兴业县</w:t>
            </w:r>
          </w:p>
        </w:tc>
        <w:tc>
          <w:tcPr>
            <w:tcW w:w="2086" w:type="dxa"/>
            <w:tcBorders>
              <w:top w:val="nil"/>
              <w:left w:val="nil"/>
              <w:bottom w:val="single" w:sz="4" w:space="0" w:color="auto"/>
              <w:right w:val="single" w:sz="4" w:space="0" w:color="auto"/>
            </w:tcBorders>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hint="eastAsia"/>
                <w:color w:val="auto"/>
                <w:highlight w:val="none"/>
              </w:rPr>
              <w:t>31</w:t>
            </w:r>
          </w:p>
        </w:tc>
        <w:tc>
          <w:tcPr>
            <w:tcW w:w="2086" w:type="dxa"/>
            <w:tcBorders>
              <w:top w:val="nil"/>
              <w:left w:val="nil"/>
              <w:bottom w:val="single" w:sz="4" w:space="0" w:color="auto"/>
              <w:right w:val="single" w:sz="4" w:space="0" w:color="auto"/>
            </w:tcBorders>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hint="eastAsia"/>
                <w:color w:val="auto"/>
                <w:highlight w:val="none"/>
              </w:rPr>
              <w:t>37</w:t>
            </w:r>
          </w:p>
        </w:tc>
        <w:tc>
          <w:tcPr>
            <w:tcW w:w="2301" w:type="dxa"/>
            <w:tcBorders>
              <w:top w:val="nil"/>
              <w:left w:val="nil"/>
              <w:bottom w:val="single" w:sz="4" w:space="0" w:color="auto"/>
              <w:right w:val="single" w:sz="4" w:space="0" w:color="auto"/>
            </w:tcBorders>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hint="eastAsia"/>
                <w:color w:val="auto"/>
                <w:highlight w:val="none"/>
              </w:rPr>
              <w:t>1</w:t>
            </w:r>
          </w:p>
        </w:tc>
      </w:tr>
      <w:tr>
        <w:tblPrEx>
          <w:tblW w:w="8297" w:type="dxa"/>
          <w:jc w:val="center"/>
          <w:tblCellMar>
            <w:top w:w="0" w:type="dxa"/>
            <w:left w:w="108" w:type="dxa"/>
            <w:bottom w:w="0" w:type="dxa"/>
            <w:right w:w="108" w:type="dxa"/>
          </w:tblCellMar>
        </w:tblPrEx>
        <w:trPr>
          <w:trHeight w:val="367"/>
          <w:jc w:val="center"/>
        </w:trPr>
        <w:tc>
          <w:tcPr>
            <w:tcW w:w="1824" w:type="dxa"/>
            <w:tcBorders>
              <w:top w:val="nil"/>
              <w:left w:val="single" w:sz="4" w:space="0" w:color="auto"/>
              <w:bottom w:val="single" w:sz="4" w:space="0" w:color="auto"/>
              <w:right w:val="single" w:sz="4" w:space="0" w:color="auto"/>
            </w:tcBorders>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hint="eastAsia"/>
                <w:color w:val="auto"/>
                <w:highlight w:val="none"/>
              </w:rPr>
              <w:t>玉州区</w:t>
            </w:r>
          </w:p>
        </w:tc>
        <w:tc>
          <w:tcPr>
            <w:tcW w:w="2086" w:type="dxa"/>
            <w:tcBorders>
              <w:top w:val="nil"/>
              <w:left w:val="nil"/>
              <w:bottom w:val="single" w:sz="4" w:space="0" w:color="auto"/>
              <w:right w:val="single" w:sz="4" w:space="0" w:color="auto"/>
            </w:tcBorders>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hint="eastAsia"/>
                <w:color w:val="auto"/>
                <w:highlight w:val="none"/>
              </w:rPr>
              <w:t>102</w:t>
            </w:r>
          </w:p>
        </w:tc>
        <w:tc>
          <w:tcPr>
            <w:tcW w:w="2086" w:type="dxa"/>
            <w:tcBorders>
              <w:top w:val="nil"/>
              <w:left w:val="nil"/>
              <w:bottom w:val="single" w:sz="4" w:space="0" w:color="auto"/>
              <w:right w:val="single" w:sz="4" w:space="0" w:color="auto"/>
            </w:tcBorders>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hint="eastAsia"/>
                <w:color w:val="auto"/>
                <w:highlight w:val="none"/>
              </w:rPr>
              <w:t>87</w:t>
            </w:r>
          </w:p>
        </w:tc>
        <w:tc>
          <w:tcPr>
            <w:tcW w:w="2301" w:type="dxa"/>
            <w:tcBorders>
              <w:top w:val="nil"/>
              <w:left w:val="nil"/>
              <w:bottom w:val="single" w:sz="4" w:space="0" w:color="auto"/>
              <w:right w:val="single" w:sz="4" w:space="0" w:color="auto"/>
            </w:tcBorders>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hint="eastAsia"/>
                <w:color w:val="auto"/>
                <w:highlight w:val="none"/>
              </w:rPr>
              <w:t>20</w:t>
            </w:r>
          </w:p>
        </w:tc>
      </w:tr>
      <w:tr>
        <w:tblPrEx>
          <w:tblW w:w="8297" w:type="dxa"/>
          <w:jc w:val="center"/>
          <w:tblCellMar>
            <w:top w:w="0" w:type="dxa"/>
            <w:left w:w="108" w:type="dxa"/>
            <w:bottom w:w="0" w:type="dxa"/>
            <w:right w:w="108" w:type="dxa"/>
          </w:tblCellMar>
        </w:tblPrEx>
        <w:trPr>
          <w:trHeight w:val="367"/>
          <w:jc w:val="center"/>
        </w:trPr>
        <w:tc>
          <w:tcPr>
            <w:tcW w:w="1824" w:type="dxa"/>
            <w:tcBorders>
              <w:top w:val="nil"/>
              <w:left w:val="single" w:sz="4" w:space="0" w:color="auto"/>
              <w:bottom w:val="single" w:sz="4" w:space="0" w:color="auto"/>
              <w:right w:val="single" w:sz="4" w:space="0" w:color="auto"/>
            </w:tcBorders>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hint="eastAsia"/>
                <w:color w:val="auto"/>
                <w:highlight w:val="none"/>
              </w:rPr>
              <w:t>合计</w:t>
            </w:r>
          </w:p>
        </w:tc>
        <w:tc>
          <w:tcPr>
            <w:tcW w:w="2086" w:type="dxa"/>
            <w:tcBorders>
              <w:top w:val="nil"/>
              <w:left w:val="nil"/>
              <w:bottom w:val="single" w:sz="4" w:space="0" w:color="auto"/>
              <w:right w:val="single" w:sz="4" w:space="0" w:color="auto"/>
            </w:tcBorders>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hint="eastAsia"/>
                <w:color w:val="auto"/>
                <w:highlight w:val="none"/>
              </w:rPr>
              <w:t>301</w:t>
            </w:r>
          </w:p>
        </w:tc>
        <w:tc>
          <w:tcPr>
            <w:tcW w:w="2086" w:type="dxa"/>
            <w:tcBorders>
              <w:top w:val="nil"/>
              <w:left w:val="nil"/>
              <w:bottom w:val="single" w:sz="4" w:space="0" w:color="auto"/>
              <w:right w:val="single" w:sz="4" w:space="0" w:color="auto"/>
            </w:tcBorders>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hint="eastAsia"/>
                <w:color w:val="auto"/>
                <w:highlight w:val="none"/>
              </w:rPr>
              <w:t>397</w:t>
            </w:r>
          </w:p>
        </w:tc>
        <w:tc>
          <w:tcPr>
            <w:tcW w:w="2301" w:type="dxa"/>
            <w:tcBorders>
              <w:top w:val="nil"/>
              <w:left w:val="nil"/>
              <w:bottom w:val="single" w:sz="4" w:space="0" w:color="auto"/>
              <w:right w:val="single" w:sz="4" w:space="0" w:color="auto"/>
            </w:tcBorders>
            <w:shd w:val="clear" w:color="auto" w:fill="auto"/>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hint="eastAsia"/>
                <w:color w:val="auto"/>
                <w:highlight w:val="none"/>
              </w:rPr>
              <w:t>39</w:t>
            </w:r>
          </w:p>
        </w:tc>
      </w:tr>
    </w:tbl>
    <w:p>
      <w:pPr>
        <w:spacing w:line="240" w:lineRule="auto"/>
        <w:ind w:left="0" w:firstLine="422"/>
        <w:jc w:val="center"/>
        <w:rPr>
          <w:rFonts w:ascii="Times New Roman" w:eastAsia="宋体" w:hAnsi="Times New Roman" w:hint="eastAsia"/>
          <w:b/>
          <w:bCs/>
          <w:color w:val="auto"/>
          <w:szCs w:val="21"/>
          <w:highlight w:val="none"/>
        </w:rPr>
      </w:pPr>
    </w:p>
    <w:p>
      <w:pPr>
        <w:spacing w:line="240" w:lineRule="auto"/>
        <w:ind w:firstLine="640"/>
        <w:rPr>
          <w:rFonts w:ascii="Times New Roman" w:eastAsia="宋体" w:hAnsi="Times New Roman"/>
          <w:color w:val="auto"/>
          <w:sz w:val="32"/>
          <w:szCs w:val="32"/>
          <w:highlight w:val="none"/>
        </w:rPr>
      </w:pPr>
      <w:bookmarkStart w:id="48" w:name="_Toc45106323"/>
      <w:r>
        <w:rPr>
          <w:rFonts w:ascii="Times New Roman" w:eastAsia="宋体" w:hAnsi="Times New Roman" w:hint="eastAsia"/>
          <w:color w:val="auto"/>
          <w:sz w:val="32"/>
          <w:szCs w:val="32"/>
          <w:highlight w:val="none"/>
        </w:rPr>
        <w:br w:type="page"/>
      </w:r>
    </w:p>
    <w:p>
      <w:pPr>
        <w:pStyle w:val="Heading2"/>
        <w:spacing w:before="260" w:after="260" w:line="240" w:lineRule="auto"/>
        <w:ind w:left="0" w:firstLine="643"/>
        <w:rPr>
          <w:rFonts w:ascii="Times New Roman" w:eastAsia="宋体" w:hAnsi="Times New Roman"/>
          <w:color w:val="auto"/>
          <w:sz w:val="32"/>
          <w:szCs w:val="32"/>
          <w:highlight w:val="none"/>
        </w:rPr>
      </w:pPr>
      <w:bookmarkStart w:id="49" w:name="_Toc32403"/>
      <w:r>
        <w:rPr>
          <w:rFonts w:ascii="Times New Roman" w:eastAsia="宋体" w:hAnsi="Times New Roman" w:hint="eastAsia"/>
          <w:color w:val="auto"/>
          <w:sz w:val="32"/>
          <w:szCs w:val="32"/>
          <w:highlight w:val="none"/>
        </w:rPr>
        <w:t>第十章 传输杆路基础设施规划</w:t>
      </w:r>
      <w:bookmarkEnd w:id="48"/>
      <w:bookmarkEnd w:id="49"/>
    </w:p>
    <w:p>
      <w:pPr>
        <w:pStyle w:val="Heading3"/>
        <w:spacing w:line="240" w:lineRule="auto"/>
        <w:ind w:left="0" w:firstLine="482"/>
        <w:rPr>
          <w:rFonts w:ascii="Times New Roman" w:eastAsia="宋体" w:hAnsi="Times New Roman" w:cstheme="majorEastAsia"/>
          <w:color w:val="auto"/>
          <w:sz w:val="24"/>
          <w:szCs w:val="24"/>
          <w:highlight w:val="none"/>
        </w:rPr>
      </w:pPr>
      <w:bookmarkStart w:id="50" w:name="_Toc12147"/>
      <w:r>
        <w:rPr>
          <w:rFonts w:ascii="Times New Roman" w:eastAsia="宋体" w:hAnsi="Times New Roman" w:cstheme="majorEastAsia" w:hint="eastAsia"/>
          <w:color w:val="auto"/>
          <w:sz w:val="24"/>
          <w:szCs w:val="24"/>
          <w:highlight w:val="none"/>
        </w:rPr>
        <w:t>一、传输杆路规划原则</w:t>
      </w:r>
      <w:bookmarkEnd w:id="50"/>
    </w:p>
    <w:p>
      <w:pPr>
        <w:spacing w:line="240" w:lineRule="auto"/>
        <w:ind w:left="0" w:firstLine="480"/>
        <w:rPr>
          <w:rFonts w:ascii="Times New Roman" w:eastAsia="宋体" w:hAnsi="Times New Roman"/>
          <w:bCs/>
          <w:color w:val="auto"/>
          <w:sz w:val="24"/>
          <w:szCs w:val="24"/>
          <w:highlight w:val="none"/>
        </w:rPr>
      </w:pPr>
      <w:r>
        <w:rPr>
          <w:rFonts w:ascii="Times New Roman" w:eastAsia="宋体" w:hAnsi="Times New Roman" w:hint="eastAsia"/>
          <w:bCs/>
          <w:color w:val="auto"/>
          <w:sz w:val="24"/>
          <w:szCs w:val="24"/>
          <w:highlight w:val="none"/>
        </w:rPr>
        <w:t>1、传输杆路规划原则</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（1）光缆在城区主要采用通信管道敷设，在乡镇或农村主要采用杆路架空敷设，局部</w:t>
      </w:r>
      <w:r>
        <w:rPr>
          <w:rFonts w:ascii="Times New Roman" w:eastAsia="宋体" w:hAnsi="Times New Roman" w:hint="eastAsia"/>
          <w:color w:val="auto"/>
          <w:sz w:val="24"/>
          <w:szCs w:val="24"/>
          <w:highlight w:val="none"/>
          <w:lang w:val="en-US" w:eastAsia="zh-CN"/>
        </w:rPr>
        <w:t>山坡</w:t>
      </w:r>
      <w:r>
        <w:rPr>
          <w:rFonts w:ascii="Times New Roman" w:eastAsia="宋体" w:hAnsi="Times New Roman" w:hint="eastAsia"/>
          <w:color w:val="auto"/>
          <w:sz w:val="24"/>
          <w:szCs w:val="24"/>
          <w:highlight w:val="none"/>
        </w:rPr>
        <w:t>陡峭等特殊地段采用相适应的敷设方式或加固措施。</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（2）为了确保架空光缆线路的安全、稳定、可靠，一般要求杆路距离水渠10m以外，距县道、省道20m以外，距国道、高速公路和铁路50m以外，一些特殊地段可适当调整，杆路与其他设施的最小水平净距如下：</w:t>
      </w:r>
    </w:p>
    <w:p>
      <w:pPr>
        <w:spacing w:line="240" w:lineRule="auto"/>
        <w:ind w:left="0" w:firstLine="422"/>
        <w:jc w:val="center"/>
        <w:rPr>
          <w:rFonts w:ascii="Times New Roman" w:eastAsia="宋体" w:hAnsi="Times New Roman"/>
          <w:b/>
          <w:bCs/>
          <w:color w:val="auto"/>
          <w:highlight w:val="none"/>
        </w:rPr>
      </w:pPr>
      <w:r>
        <w:rPr>
          <w:rFonts w:ascii="Times New Roman" w:eastAsia="宋体" w:hAnsi="Times New Roman" w:hint="eastAsia"/>
          <w:b/>
          <w:bCs/>
          <w:color w:val="auto"/>
          <w:szCs w:val="18"/>
          <w:highlight w:val="none"/>
        </w:rPr>
        <w:t>表10</w:t>
      </w:r>
      <w:r>
        <w:rPr>
          <w:rFonts w:ascii="Times New Roman" w:eastAsia="宋体" w:hAnsi="Times New Roman"/>
          <w:b/>
          <w:bCs/>
          <w:color w:val="auto"/>
          <w:szCs w:val="18"/>
          <w:highlight w:val="none"/>
        </w:rPr>
        <w:t>-1</w:t>
      </w:r>
      <w:r>
        <w:rPr>
          <w:rFonts w:ascii="Times New Roman" w:eastAsia="宋体" w:hAnsi="Times New Roman" w:hint="eastAsia"/>
          <w:b/>
          <w:bCs/>
          <w:color w:val="auto"/>
          <w:szCs w:val="18"/>
          <w:highlight w:val="none"/>
        </w:rPr>
        <w:t xml:space="preserve">  杆路与其他设施的最小水平净距</w:t>
      </w:r>
    </w:p>
    <w:tbl>
      <w:tblPr>
        <w:tblStyle w:val="TableNormal"/>
        <w:tblW w:w="4039" w:type="pct"/>
        <w:jc w:val="center"/>
        <w:tblCellMar>
          <w:top w:w="0" w:type="dxa"/>
          <w:left w:w="108" w:type="dxa"/>
          <w:bottom w:w="0" w:type="dxa"/>
          <w:right w:w="108" w:type="dxa"/>
        </w:tblCellMar>
      </w:tblPr>
      <w:tblGrid>
        <w:gridCol w:w="2335"/>
        <w:gridCol w:w="2396"/>
        <w:gridCol w:w="3462"/>
      </w:tblGrid>
      <w:tr>
        <w:tblPrEx>
          <w:tblW w:w="4039" w:type="pct"/>
          <w:jc w:val="center"/>
          <w:tblCellMar>
            <w:top w:w="0" w:type="dxa"/>
            <w:left w:w="108" w:type="dxa"/>
            <w:bottom w:w="0" w:type="dxa"/>
            <w:right w:w="108" w:type="dxa"/>
          </w:tblCellMar>
        </w:tblPrEx>
        <w:trPr>
          <w:trHeight w:val="277"/>
          <w:tblHeader/>
          <w:jc w:val="center"/>
        </w:trPr>
        <w:tc>
          <w:tcPr>
            <w:tcW w:w="1425" w:type="pct"/>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left="0" w:firstLine="0" w:firstLineChars="0"/>
              <w:jc w:val="center"/>
              <w:rPr>
                <w:rFonts w:ascii="Times New Roman" w:eastAsia="宋体" w:hAnsi="Times New Roman" w:cs="宋体"/>
                <w:b/>
                <w:color w:val="auto"/>
                <w:szCs w:val="21"/>
                <w:highlight w:val="none"/>
              </w:rPr>
            </w:pPr>
            <w:r>
              <w:rPr>
                <w:rFonts w:ascii="Times New Roman" w:eastAsia="宋体" w:hAnsi="Times New Roman" w:cs="宋体" w:hint="eastAsia"/>
                <w:b/>
                <w:color w:val="auto"/>
                <w:szCs w:val="21"/>
                <w:highlight w:val="none"/>
              </w:rPr>
              <w:t>其他设施名称</w:t>
            </w:r>
          </w:p>
        </w:tc>
        <w:tc>
          <w:tcPr>
            <w:tcW w:w="1462" w:type="pct"/>
            <w:tcBorders>
              <w:top w:val="single" w:sz="4" w:space="0" w:color="auto"/>
              <w:left w:val="nil"/>
              <w:bottom w:val="single" w:sz="4" w:space="0" w:color="auto"/>
              <w:right w:val="single" w:sz="4" w:space="0" w:color="auto"/>
            </w:tcBorders>
            <w:noWrap/>
            <w:vAlign w:val="center"/>
          </w:tcPr>
          <w:p>
            <w:pPr>
              <w:widowControl/>
              <w:spacing w:line="240" w:lineRule="auto"/>
              <w:ind w:left="0" w:firstLine="0" w:firstLineChars="0"/>
              <w:jc w:val="center"/>
              <w:rPr>
                <w:rFonts w:ascii="Times New Roman" w:eastAsia="宋体" w:hAnsi="Times New Roman" w:cs="宋体"/>
                <w:b/>
                <w:color w:val="auto"/>
                <w:szCs w:val="21"/>
                <w:highlight w:val="none"/>
              </w:rPr>
            </w:pPr>
            <w:r>
              <w:rPr>
                <w:rFonts w:ascii="Times New Roman" w:eastAsia="宋体" w:hAnsi="Times New Roman" w:cs="宋体" w:hint="eastAsia"/>
                <w:b/>
                <w:color w:val="auto"/>
                <w:szCs w:val="21"/>
                <w:highlight w:val="none"/>
              </w:rPr>
              <w:t>最小水平净距（m）</w:t>
            </w:r>
          </w:p>
        </w:tc>
        <w:tc>
          <w:tcPr>
            <w:tcW w:w="2113" w:type="pct"/>
            <w:tcBorders>
              <w:top w:val="single" w:sz="4" w:space="0" w:color="auto"/>
              <w:left w:val="nil"/>
              <w:bottom w:val="single" w:sz="4" w:space="0" w:color="auto"/>
              <w:right w:val="single" w:sz="4" w:space="0" w:color="auto"/>
            </w:tcBorders>
            <w:noWrap/>
            <w:vAlign w:val="center"/>
          </w:tcPr>
          <w:p>
            <w:pPr>
              <w:widowControl/>
              <w:spacing w:line="240" w:lineRule="auto"/>
              <w:ind w:left="0" w:firstLine="0" w:firstLineChars="0"/>
              <w:jc w:val="center"/>
              <w:rPr>
                <w:rFonts w:ascii="Times New Roman" w:eastAsia="宋体" w:hAnsi="Times New Roman" w:cs="宋体"/>
                <w:b/>
                <w:color w:val="auto"/>
                <w:szCs w:val="21"/>
                <w:highlight w:val="none"/>
              </w:rPr>
            </w:pPr>
            <w:r>
              <w:rPr>
                <w:rFonts w:ascii="Times New Roman" w:eastAsia="宋体" w:hAnsi="Times New Roman" w:cs="宋体" w:hint="eastAsia"/>
                <w:b/>
                <w:color w:val="auto"/>
                <w:szCs w:val="21"/>
                <w:highlight w:val="none"/>
              </w:rPr>
              <w:t>备注</w:t>
            </w:r>
          </w:p>
        </w:tc>
      </w:tr>
      <w:tr>
        <w:tblPrEx>
          <w:tblW w:w="4039" w:type="pct"/>
          <w:jc w:val="center"/>
          <w:tblCellMar>
            <w:top w:w="0" w:type="dxa"/>
            <w:left w:w="108" w:type="dxa"/>
            <w:bottom w:w="0" w:type="dxa"/>
            <w:right w:w="108" w:type="dxa"/>
          </w:tblCellMar>
        </w:tblPrEx>
        <w:trPr>
          <w:trHeight w:val="277"/>
          <w:jc w:val="center"/>
        </w:trPr>
        <w:tc>
          <w:tcPr>
            <w:tcW w:w="1425" w:type="pct"/>
            <w:tcBorders>
              <w:top w:val="nil"/>
              <w:left w:val="single" w:sz="4" w:space="0" w:color="auto"/>
              <w:bottom w:val="single" w:sz="4" w:space="0" w:color="auto"/>
              <w:right w:val="single" w:sz="4" w:space="0" w:color="auto"/>
            </w:tcBorders>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ascii="Times New Roman" w:eastAsia="宋体" w:hAnsi="Times New Roman" w:cs="宋体" w:hint="eastAsia"/>
                <w:color w:val="auto"/>
                <w:szCs w:val="21"/>
                <w:highlight w:val="none"/>
              </w:rPr>
              <w:t>消火栓</w:t>
            </w:r>
          </w:p>
        </w:tc>
        <w:tc>
          <w:tcPr>
            <w:tcW w:w="1462" w:type="pct"/>
            <w:tcBorders>
              <w:top w:val="nil"/>
              <w:left w:val="nil"/>
              <w:bottom w:val="single" w:sz="4" w:space="0" w:color="auto"/>
              <w:right w:val="single" w:sz="4" w:space="0" w:color="auto"/>
            </w:tcBorders>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ascii="Times New Roman" w:eastAsia="宋体" w:hAnsi="Times New Roman" w:cs="宋体" w:hint="eastAsia"/>
                <w:color w:val="auto"/>
                <w:szCs w:val="21"/>
                <w:highlight w:val="none"/>
              </w:rPr>
              <w:t>1.0</w:t>
            </w:r>
          </w:p>
        </w:tc>
        <w:tc>
          <w:tcPr>
            <w:tcW w:w="2113" w:type="pct"/>
            <w:tcBorders>
              <w:top w:val="nil"/>
              <w:left w:val="nil"/>
              <w:bottom w:val="single" w:sz="4" w:space="0" w:color="auto"/>
              <w:right w:val="single" w:sz="4" w:space="0" w:color="auto"/>
            </w:tcBorders>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ascii="Times New Roman" w:eastAsia="宋体" w:hAnsi="Times New Roman" w:cs="宋体" w:hint="eastAsia"/>
                <w:color w:val="auto"/>
                <w:szCs w:val="21"/>
                <w:highlight w:val="none"/>
              </w:rPr>
              <w:t>指消火栓与电杆距离</w:t>
            </w:r>
          </w:p>
        </w:tc>
      </w:tr>
      <w:tr>
        <w:tblPrEx>
          <w:tblW w:w="4039" w:type="pct"/>
          <w:jc w:val="center"/>
          <w:tblCellMar>
            <w:top w:w="0" w:type="dxa"/>
            <w:left w:w="108" w:type="dxa"/>
            <w:bottom w:w="0" w:type="dxa"/>
            <w:right w:w="108" w:type="dxa"/>
          </w:tblCellMar>
        </w:tblPrEx>
        <w:trPr>
          <w:trHeight w:val="277"/>
          <w:jc w:val="center"/>
        </w:trPr>
        <w:tc>
          <w:tcPr>
            <w:tcW w:w="1425" w:type="pct"/>
            <w:tcBorders>
              <w:top w:val="nil"/>
              <w:left w:val="single" w:sz="4" w:space="0" w:color="auto"/>
              <w:bottom w:val="single" w:sz="4" w:space="0" w:color="auto"/>
              <w:right w:val="single" w:sz="4" w:space="0" w:color="auto"/>
            </w:tcBorders>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ascii="Times New Roman" w:eastAsia="宋体" w:hAnsi="Times New Roman" w:cs="宋体" w:hint="eastAsia"/>
                <w:color w:val="auto"/>
                <w:szCs w:val="21"/>
                <w:highlight w:val="none"/>
              </w:rPr>
              <w:t>地下管、缆线</w:t>
            </w:r>
          </w:p>
        </w:tc>
        <w:tc>
          <w:tcPr>
            <w:tcW w:w="1462" w:type="pct"/>
            <w:tcBorders>
              <w:top w:val="nil"/>
              <w:left w:val="nil"/>
              <w:bottom w:val="single" w:sz="4" w:space="0" w:color="auto"/>
              <w:right w:val="single" w:sz="4" w:space="0" w:color="auto"/>
            </w:tcBorders>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ascii="Times New Roman" w:eastAsia="宋体" w:hAnsi="Times New Roman" w:cs="宋体" w:hint="eastAsia"/>
                <w:color w:val="auto"/>
                <w:szCs w:val="21"/>
                <w:highlight w:val="none"/>
              </w:rPr>
              <w:t>0.5-1.0</w:t>
            </w:r>
          </w:p>
        </w:tc>
        <w:tc>
          <w:tcPr>
            <w:tcW w:w="2113" w:type="pct"/>
            <w:tcBorders>
              <w:top w:val="nil"/>
              <w:left w:val="nil"/>
              <w:bottom w:val="single" w:sz="4" w:space="0" w:color="auto"/>
              <w:right w:val="single" w:sz="4" w:space="0" w:color="auto"/>
            </w:tcBorders>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ascii="Times New Roman" w:eastAsia="宋体" w:hAnsi="Times New Roman" w:cs="宋体" w:hint="eastAsia"/>
                <w:color w:val="auto"/>
                <w:szCs w:val="21"/>
                <w:highlight w:val="none"/>
              </w:rPr>
              <w:t>包括通信管、缆线与电杆间的距离</w:t>
            </w:r>
          </w:p>
        </w:tc>
      </w:tr>
      <w:tr>
        <w:tblPrEx>
          <w:tblW w:w="4039" w:type="pct"/>
          <w:jc w:val="center"/>
          <w:tblCellMar>
            <w:top w:w="0" w:type="dxa"/>
            <w:left w:w="108" w:type="dxa"/>
            <w:bottom w:w="0" w:type="dxa"/>
            <w:right w:w="108" w:type="dxa"/>
          </w:tblCellMar>
        </w:tblPrEx>
        <w:trPr>
          <w:trHeight w:val="277"/>
          <w:jc w:val="center"/>
        </w:trPr>
        <w:tc>
          <w:tcPr>
            <w:tcW w:w="1425" w:type="pct"/>
            <w:tcBorders>
              <w:top w:val="nil"/>
              <w:left w:val="single" w:sz="4" w:space="0" w:color="auto"/>
              <w:bottom w:val="single" w:sz="4" w:space="0" w:color="auto"/>
              <w:right w:val="single" w:sz="4" w:space="0" w:color="auto"/>
            </w:tcBorders>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ascii="Times New Roman" w:eastAsia="宋体" w:hAnsi="Times New Roman" w:cs="宋体" w:hint="eastAsia"/>
                <w:color w:val="auto"/>
                <w:szCs w:val="21"/>
                <w:highlight w:val="none"/>
              </w:rPr>
              <w:t>火车铁轨</w:t>
            </w:r>
          </w:p>
        </w:tc>
        <w:tc>
          <w:tcPr>
            <w:tcW w:w="1462" w:type="pct"/>
            <w:tcBorders>
              <w:top w:val="nil"/>
              <w:left w:val="nil"/>
              <w:bottom w:val="single" w:sz="4" w:space="0" w:color="auto"/>
              <w:right w:val="single" w:sz="4" w:space="0" w:color="auto"/>
            </w:tcBorders>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ascii="Times New Roman" w:eastAsia="宋体" w:hAnsi="Times New Roman" w:cs="宋体" w:hint="eastAsia"/>
                <w:color w:val="auto"/>
                <w:szCs w:val="21"/>
                <w:highlight w:val="none"/>
              </w:rPr>
              <w:t>地面杆高的4/3倍</w:t>
            </w:r>
          </w:p>
        </w:tc>
        <w:tc>
          <w:tcPr>
            <w:tcW w:w="2113" w:type="pct"/>
            <w:tcBorders>
              <w:top w:val="nil"/>
              <w:left w:val="nil"/>
              <w:bottom w:val="single" w:sz="4" w:space="0" w:color="auto"/>
              <w:right w:val="single" w:sz="4" w:space="0" w:color="auto"/>
            </w:tcBorders>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p>
        </w:tc>
      </w:tr>
      <w:tr>
        <w:tblPrEx>
          <w:tblW w:w="4039" w:type="pct"/>
          <w:jc w:val="center"/>
          <w:tblCellMar>
            <w:top w:w="0" w:type="dxa"/>
            <w:left w:w="108" w:type="dxa"/>
            <w:bottom w:w="0" w:type="dxa"/>
            <w:right w:w="108" w:type="dxa"/>
          </w:tblCellMar>
        </w:tblPrEx>
        <w:trPr>
          <w:trHeight w:val="277"/>
          <w:jc w:val="center"/>
        </w:trPr>
        <w:tc>
          <w:tcPr>
            <w:tcW w:w="1425" w:type="pct"/>
            <w:tcBorders>
              <w:top w:val="nil"/>
              <w:left w:val="single" w:sz="4" w:space="0" w:color="auto"/>
              <w:bottom w:val="single" w:sz="4" w:space="0" w:color="auto"/>
              <w:right w:val="single" w:sz="4" w:space="0" w:color="auto"/>
            </w:tcBorders>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ascii="Times New Roman" w:eastAsia="宋体" w:hAnsi="Times New Roman" w:cs="宋体" w:hint="eastAsia"/>
                <w:color w:val="auto"/>
                <w:szCs w:val="21"/>
                <w:highlight w:val="none"/>
              </w:rPr>
              <w:t>人</w:t>
            </w:r>
            <w:r>
              <w:rPr>
                <w:rFonts w:ascii="Times New Roman" w:eastAsia="宋体" w:hAnsi="Times New Roman" w:cs="宋体" w:hint="eastAsia"/>
                <w:color w:val="auto"/>
                <w:szCs w:val="21"/>
                <w:highlight w:val="none"/>
                <w:lang w:val="en-US" w:eastAsia="zh-CN"/>
              </w:rPr>
              <w:t>行</w:t>
            </w:r>
            <w:r>
              <w:rPr>
                <w:rFonts w:ascii="Times New Roman" w:eastAsia="宋体" w:hAnsi="Times New Roman" w:cs="宋体" w:hint="eastAsia"/>
                <w:color w:val="auto"/>
                <w:szCs w:val="21"/>
                <w:highlight w:val="none"/>
              </w:rPr>
              <w:t>道边石</w:t>
            </w:r>
          </w:p>
        </w:tc>
        <w:tc>
          <w:tcPr>
            <w:tcW w:w="1462" w:type="pct"/>
            <w:tcBorders>
              <w:top w:val="nil"/>
              <w:left w:val="nil"/>
              <w:bottom w:val="single" w:sz="4" w:space="0" w:color="auto"/>
              <w:right w:val="single" w:sz="4" w:space="0" w:color="auto"/>
            </w:tcBorders>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ascii="Times New Roman" w:eastAsia="宋体" w:hAnsi="Times New Roman" w:cs="宋体" w:hint="eastAsia"/>
                <w:color w:val="auto"/>
                <w:szCs w:val="21"/>
                <w:highlight w:val="none"/>
              </w:rPr>
              <w:t>0.5</w:t>
            </w:r>
          </w:p>
        </w:tc>
        <w:tc>
          <w:tcPr>
            <w:tcW w:w="2113" w:type="pct"/>
            <w:tcBorders>
              <w:top w:val="nil"/>
              <w:left w:val="nil"/>
              <w:bottom w:val="single" w:sz="4" w:space="0" w:color="auto"/>
              <w:right w:val="single" w:sz="4" w:space="0" w:color="auto"/>
            </w:tcBorders>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p>
        </w:tc>
      </w:tr>
      <w:tr>
        <w:tblPrEx>
          <w:tblW w:w="4039" w:type="pct"/>
          <w:jc w:val="center"/>
          <w:tblCellMar>
            <w:top w:w="0" w:type="dxa"/>
            <w:left w:w="108" w:type="dxa"/>
            <w:bottom w:w="0" w:type="dxa"/>
            <w:right w:w="108" w:type="dxa"/>
          </w:tblCellMar>
        </w:tblPrEx>
        <w:trPr>
          <w:trHeight w:val="277"/>
          <w:jc w:val="center"/>
        </w:trPr>
        <w:tc>
          <w:tcPr>
            <w:tcW w:w="1425" w:type="pct"/>
            <w:tcBorders>
              <w:top w:val="nil"/>
              <w:left w:val="single" w:sz="4" w:space="0" w:color="auto"/>
              <w:bottom w:val="single" w:sz="4" w:space="0" w:color="auto"/>
              <w:right w:val="single" w:sz="4" w:space="0" w:color="auto"/>
            </w:tcBorders>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ascii="Times New Roman" w:eastAsia="宋体" w:hAnsi="Times New Roman" w:cs="宋体" w:hint="eastAsia"/>
                <w:color w:val="auto"/>
                <w:szCs w:val="21"/>
                <w:highlight w:val="none"/>
              </w:rPr>
              <w:t>地面上已有其他杆路</w:t>
            </w:r>
          </w:p>
        </w:tc>
        <w:tc>
          <w:tcPr>
            <w:tcW w:w="1462" w:type="pct"/>
            <w:tcBorders>
              <w:top w:val="nil"/>
              <w:left w:val="nil"/>
              <w:bottom w:val="single" w:sz="4" w:space="0" w:color="auto"/>
              <w:right w:val="single" w:sz="4" w:space="0" w:color="auto"/>
            </w:tcBorders>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ascii="Times New Roman" w:eastAsia="宋体" w:hAnsi="Times New Roman" w:cs="宋体" w:hint="eastAsia"/>
                <w:color w:val="auto"/>
                <w:szCs w:val="21"/>
                <w:highlight w:val="none"/>
              </w:rPr>
              <w:t>地面杆高的4/3倍</w:t>
            </w:r>
          </w:p>
        </w:tc>
        <w:tc>
          <w:tcPr>
            <w:tcW w:w="2113" w:type="pct"/>
            <w:tcBorders>
              <w:top w:val="nil"/>
              <w:left w:val="nil"/>
              <w:bottom w:val="single" w:sz="4" w:space="0" w:color="auto"/>
              <w:right w:val="single" w:sz="4" w:space="0" w:color="auto"/>
            </w:tcBorders>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ascii="Times New Roman" w:eastAsia="宋体" w:hAnsi="Times New Roman" w:cs="宋体" w:hint="eastAsia"/>
                <w:color w:val="auto"/>
                <w:szCs w:val="21"/>
                <w:highlight w:val="none"/>
              </w:rPr>
              <w:t>以较长标高为基准</w:t>
            </w:r>
          </w:p>
        </w:tc>
      </w:tr>
      <w:tr>
        <w:tblPrEx>
          <w:tblW w:w="4039" w:type="pct"/>
          <w:jc w:val="center"/>
          <w:tblCellMar>
            <w:top w:w="0" w:type="dxa"/>
            <w:left w:w="108" w:type="dxa"/>
            <w:bottom w:w="0" w:type="dxa"/>
            <w:right w:w="108" w:type="dxa"/>
          </w:tblCellMar>
        </w:tblPrEx>
        <w:trPr>
          <w:trHeight w:val="277"/>
          <w:jc w:val="center"/>
        </w:trPr>
        <w:tc>
          <w:tcPr>
            <w:tcW w:w="1425" w:type="pct"/>
            <w:tcBorders>
              <w:top w:val="nil"/>
              <w:left w:val="single" w:sz="4" w:space="0" w:color="auto"/>
              <w:bottom w:val="single" w:sz="4" w:space="0" w:color="auto"/>
              <w:right w:val="single" w:sz="4" w:space="0" w:color="auto"/>
            </w:tcBorders>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ascii="Times New Roman" w:eastAsia="宋体" w:hAnsi="Times New Roman" w:cs="宋体" w:hint="eastAsia"/>
                <w:color w:val="auto"/>
                <w:szCs w:val="21"/>
                <w:highlight w:val="none"/>
              </w:rPr>
              <w:t>市区树木</w:t>
            </w:r>
          </w:p>
        </w:tc>
        <w:tc>
          <w:tcPr>
            <w:tcW w:w="1462" w:type="pct"/>
            <w:tcBorders>
              <w:top w:val="nil"/>
              <w:left w:val="nil"/>
              <w:bottom w:val="single" w:sz="4" w:space="0" w:color="auto"/>
              <w:right w:val="single" w:sz="4" w:space="0" w:color="auto"/>
            </w:tcBorders>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ascii="Times New Roman" w:eastAsia="宋体" w:hAnsi="Times New Roman" w:cs="宋体" w:hint="eastAsia"/>
                <w:color w:val="auto"/>
                <w:szCs w:val="21"/>
                <w:highlight w:val="none"/>
              </w:rPr>
              <w:t>0.5</w:t>
            </w:r>
          </w:p>
        </w:tc>
        <w:tc>
          <w:tcPr>
            <w:tcW w:w="2113" w:type="pct"/>
            <w:tcBorders>
              <w:top w:val="nil"/>
              <w:left w:val="nil"/>
              <w:bottom w:val="single" w:sz="4" w:space="0" w:color="auto"/>
              <w:right w:val="single" w:sz="4" w:space="0" w:color="auto"/>
            </w:tcBorders>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ascii="Times New Roman" w:eastAsia="宋体" w:hAnsi="Times New Roman" w:cs="宋体" w:hint="eastAsia"/>
                <w:color w:val="auto"/>
                <w:szCs w:val="21"/>
                <w:highlight w:val="none"/>
              </w:rPr>
              <w:t>缆线到树干的水平距离</w:t>
            </w:r>
          </w:p>
        </w:tc>
      </w:tr>
      <w:tr>
        <w:tblPrEx>
          <w:tblW w:w="4039" w:type="pct"/>
          <w:jc w:val="center"/>
          <w:tblCellMar>
            <w:top w:w="0" w:type="dxa"/>
            <w:left w:w="108" w:type="dxa"/>
            <w:bottom w:w="0" w:type="dxa"/>
            <w:right w:w="108" w:type="dxa"/>
          </w:tblCellMar>
        </w:tblPrEx>
        <w:trPr>
          <w:trHeight w:val="277"/>
          <w:jc w:val="center"/>
        </w:trPr>
        <w:tc>
          <w:tcPr>
            <w:tcW w:w="1425" w:type="pct"/>
            <w:tcBorders>
              <w:top w:val="nil"/>
              <w:left w:val="single" w:sz="4" w:space="0" w:color="auto"/>
              <w:bottom w:val="single" w:sz="4" w:space="0" w:color="auto"/>
              <w:right w:val="single" w:sz="4" w:space="0" w:color="auto"/>
            </w:tcBorders>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ascii="Times New Roman" w:eastAsia="宋体" w:hAnsi="Times New Roman" w:cs="宋体" w:hint="eastAsia"/>
                <w:color w:val="auto"/>
                <w:szCs w:val="21"/>
                <w:highlight w:val="none"/>
              </w:rPr>
              <w:t>校区树木</w:t>
            </w:r>
          </w:p>
        </w:tc>
        <w:tc>
          <w:tcPr>
            <w:tcW w:w="1462" w:type="pct"/>
            <w:tcBorders>
              <w:top w:val="nil"/>
              <w:left w:val="nil"/>
              <w:bottom w:val="single" w:sz="4" w:space="0" w:color="auto"/>
              <w:right w:val="single" w:sz="4" w:space="0" w:color="auto"/>
            </w:tcBorders>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ascii="Times New Roman" w:eastAsia="宋体" w:hAnsi="Times New Roman" w:cs="宋体" w:hint="eastAsia"/>
                <w:color w:val="auto"/>
                <w:szCs w:val="21"/>
                <w:highlight w:val="none"/>
              </w:rPr>
              <w:t>2.0</w:t>
            </w:r>
          </w:p>
        </w:tc>
        <w:tc>
          <w:tcPr>
            <w:tcW w:w="2113" w:type="pct"/>
            <w:tcBorders>
              <w:top w:val="nil"/>
              <w:left w:val="nil"/>
              <w:bottom w:val="single" w:sz="4" w:space="0" w:color="auto"/>
              <w:right w:val="single" w:sz="4" w:space="0" w:color="auto"/>
            </w:tcBorders>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ascii="Times New Roman" w:eastAsia="宋体" w:hAnsi="Times New Roman" w:cs="宋体" w:hint="eastAsia"/>
                <w:color w:val="auto"/>
                <w:szCs w:val="21"/>
                <w:highlight w:val="none"/>
              </w:rPr>
              <w:t>缆线到树干的水平距离</w:t>
            </w:r>
          </w:p>
        </w:tc>
      </w:tr>
      <w:tr>
        <w:tblPrEx>
          <w:tblW w:w="4039" w:type="pct"/>
          <w:jc w:val="center"/>
          <w:tblCellMar>
            <w:top w:w="0" w:type="dxa"/>
            <w:left w:w="108" w:type="dxa"/>
            <w:bottom w:w="0" w:type="dxa"/>
            <w:right w:w="108" w:type="dxa"/>
          </w:tblCellMar>
        </w:tblPrEx>
        <w:trPr>
          <w:trHeight w:val="277"/>
          <w:jc w:val="center"/>
        </w:trPr>
        <w:tc>
          <w:tcPr>
            <w:tcW w:w="1425" w:type="pct"/>
            <w:tcBorders>
              <w:top w:val="nil"/>
              <w:left w:val="single" w:sz="4" w:space="0" w:color="auto"/>
              <w:bottom w:val="single" w:sz="4" w:space="0" w:color="auto"/>
              <w:right w:val="single" w:sz="4" w:space="0" w:color="auto"/>
            </w:tcBorders>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ascii="Times New Roman" w:eastAsia="宋体" w:hAnsi="Times New Roman" w:cs="宋体" w:hint="eastAsia"/>
                <w:color w:val="auto"/>
                <w:szCs w:val="21"/>
                <w:highlight w:val="none"/>
              </w:rPr>
              <w:t>房屋建筑</w:t>
            </w:r>
          </w:p>
        </w:tc>
        <w:tc>
          <w:tcPr>
            <w:tcW w:w="1462" w:type="pct"/>
            <w:tcBorders>
              <w:top w:val="nil"/>
              <w:left w:val="nil"/>
              <w:bottom w:val="single" w:sz="4" w:space="0" w:color="auto"/>
              <w:right w:val="single" w:sz="4" w:space="0" w:color="auto"/>
            </w:tcBorders>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ascii="Times New Roman" w:eastAsia="宋体" w:hAnsi="Times New Roman" w:cs="宋体" w:hint="eastAsia"/>
                <w:color w:val="auto"/>
                <w:szCs w:val="21"/>
                <w:highlight w:val="none"/>
              </w:rPr>
              <w:t>2.0</w:t>
            </w:r>
          </w:p>
        </w:tc>
        <w:tc>
          <w:tcPr>
            <w:tcW w:w="2113" w:type="pct"/>
            <w:tcBorders>
              <w:top w:val="nil"/>
              <w:left w:val="nil"/>
              <w:bottom w:val="single" w:sz="4" w:space="0" w:color="auto"/>
              <w:right w:val="single" w:sz="4" w:space="0" w:color="auto"/>
            </w:tcBorders>
            <w:noWrap/>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ascii="Times New Roman" w:eastAsia="宋体" w:hAnsi="Times New Roman" w:cs="宋体" w:hint="eastAsia"/>
                <w:color w:val="auto"/>
                <w:szCs w:val="21"/>
                <w:highlight w:val="none"/>
              </w:rPr>
              <w:t>缆线到房屋建筑的水平距离</w:t>
            </w:r>
          </w:p>
        </w:tc>
      </w:tr>
    </w:tbl>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3）架空杆路基本杆高为7m，遇到山区特殊地段、跨越障碍或跨越铁路、公路、农村机耕道路时，可以根据实际地形选用6m、8m、9m、10m和12m等杆高，遇到局部山顶短段抬杆确实困难的情况，可用油木杆替代水泥电杆。</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（4）架空杆路的基本杆距为50m，可根据实际情况适当调整±5m。由于地形或障碍物的原因如跨河等档距较长时，应按长杆档加辅助吊线或架空飞线处理。</w:t>
      </w:r>
    </w:p>
    <w:p>
      <w:pPr>
        <w:spacing w:line="240" w:lineRule="auto"/>
        <w:ind w:left="0" w:firstLine="313" w:firstLineChars="149"/>
        <w:rPr>
          <w:rFonts w:ascii="Times New Roman" w:eastAsia="宋体" w:hAnsi="Times New Roman"/>
          <w:bCs/>
          <w:color w:val="auto"/>
          <w:sz w:val="24"/>
          <w:szCs w:val="24"/>
          <w:highlight w:val="none"/>
        </w:rPr>
      </w:pPr>
      <w:r>
        <w:rPr>
          <w:rFonts w:ascii="Times New Roman" w:eastAsia="宋体" w:hAnsi="Times New Roman" w:hint="eastAsia"/>
          <w:bCs/>
          <w:color w:val="auto"/>
          <w:sz w:val="24"/>
          <w:szCs w:val="24"/>
          <w:highlight w:val="none"/>
        </w:rPr>
        <w:t>2、传输杆路规划需求整合原则</w:t>
      </w:r>
    </w:p>
    <w:p>
      <w:pPr>
        <w:spacing w:line="240" w:lineRule="auto"/>
        <w:ind w:left="0" w:firstLine="313" w:firstLineChars="149"/>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在同一路段，有不同电信企业提出新建杆路规划需求的情况，需把不同电信企业的新建杆路规划需求进行整合，同一路段只需规划一趟杆路即可满足各家电信企业架空光缆需求。</w:t>
      </w:r>
    </w:p>
    <w:p>
      <w:pPr>
        <w:pStyle w:val="Heading3"/>
        <w:spacing w:line="240" w:lineRule="auto"/>
        <w:ind w:left="0" w:firstLine="482"/>
        <w:rPr>
          <w:rFonts w:ascii="Times New Roman" w:eastAsia="宋体" w:hAnsi="Times New Roman" w:cstheme="majorEastAsia"/>
          <w:color w:val="auto"/>
          <w:sz w:val="24"/>
          <w:szCs w:val="24"/>
          <w:highlight w:val="none"/>
        </w:rPr>
      </w:pPr>
      <w:bookmarkStart w:id="51" w:name="_Toc18076"/>
      <w:r>
        <w:rPr>
          <w:rFonts w:ascii="Times New Roman" w:eastAsia="宋体" w:hAnsi="Times New Roman" w:cstheme="majorEastAsia" w:hint="eastAsia"/>
          <w:color w:val="auto"/>
          <w:sz w:val="24"/>
          <w:szCs w:val="24"/>
          <w:highlight w:val="none"/>
        </w:rPr>
        <w:t>二、传输杆路规划方案</w:t>
      </w:r>
      <w:bookmarkEnd w:id="51"/>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新建传输杆路应考虑各电信企业的需求，统筹规划、联合建设，资源共用，不宜在统一路由重复建设，野外传输杆路一般应沿交通线，传输杆路定线在交通线用地之外，并保持一定平行距离，市区县城传输杆路线在一般人行道或与城建部门商定的位置，避免跨越房屋等建筑物，通信传输杆路不宜与电力线在同一侧。结合</w:t>
      </w:r>
      <w:r>
        <w:rPr>
          <w:rFonts w:ascii="Times New Roman" w:eastAsia="宋体" w:hAnsi="Times New Roman" w:hint="eastAsia"/>
          <w:color w:val="auto"/>
          <w:sz w:val="24"/>
          <w:szCs w:val="24"/>
          <w:highlight w:val="none"/>
          <w:lang w:val="en-US" w:eastAsia="zh-CN"/>
        </w:rPr>
        <w:t>各</w:t>
      </w:r>
      <w:r>
        <w:rPr>
          <w:rFonts w:ascii="Times New Roman" w:eastAsia="宋体" w:hAnsi="Times New Roman" w:hint="eastAsia"/>
          <w:color w:val="auto"/>
          <w:sz w:val="24"/>
          <w:szCs w:val="24"/>
          <w:highlight w:val="none"/>
        </w:rPr>
        <w:t>电信企业的需求规划新建传输杆路</w:t>
      </w:r>
      <w:r>
        <w:rPr>
          <w:rFonts w:ascii="Times New Roman" w:eastAsia="宋体" w:hAnsi="Times New Roman" w:hint="eastAsia"/>
          <w:color w:val="auto"/>
          <w:sz w:val="24"/>
          <w:szCs w:val="24"/>
          <w:highlight w:val="none"/>
          <w:lang w:val="en-US" w:eastAsia="zh-CN"/>
        </w:rPr>
        <w:t>65</w:t>
      </w:r>
      <w:r>
        <w:rPr>
          <w:rFonts w:ascii="Times New Roman" w:eastAsia="宋体" w:hAnsi="Times New Roman" w:hint="eastAsia"/>
          <w:color w:val="auto"/>
          <w:sz w:val="24"/>
          <w:szCs w:val="24"/>
          <w:highlight w:val="none"/>
        </w:rPr>
        <w:t>段，合计杆路长度</w:t>
      </w:r>
      <w:r>
        <w:rPr>
          <w:rFonts w:ascii="Times New Roman" w:eastAsia="宋体" w:hAnsi="Times New Roman"/>
          <w:color w:val="auto"/>
          <w:sz w:val="24"/>
          <w:szCs w:val="24"/>
          <w:highlight w:val="none"/>
        </w:rPr>
        <w:t>259.373</w:t>
      </w:r>
      <w:r>
        <w:rPr>
          <w:rFonts w:ascii="Times New Roman" w:eastAsia="宋体" w:hAnsi="Times New Roman" w:hint="eastAsia"/>
          <w:color w:val="auto"/>
          <w:sz w:val="24"/>
          <w:szCs w:val="24"/>
          <w:highlight w:val="none"/>
        </w:rPr>
        <w:t>公里，各区县规划如下表：</w:t>
      </w:r>
    </w:p>
    <w:p>
      <w:pPr>
        <w:spacing w:line="240" w:lineRule="auto"/>
        <w:ind w:left="0" w:firstLine="422"/>
        <w:jc w:val="center"/>
        <w:rPr>
          <w:rFonts w:ascii="Times New Roman" w:eastAsia="宋体" w:hAnsi="Times New Roman" w:hint="eastAsia"/>
          <w:b/>
          <w:bCs/>
          <w:color w:val="auto"/>
          <w:szCs w:val="18"/>
          <w:highlight w:val="none"/>
        </w:rPr>
      </w:pPr>
      <w:r>
        <w:rPr>
          <w:rFonts w:ascii="Times New Roman" w:eastAsia="宋体" w:hAnsi="Times New Roman" w:hint="eastAsia"/>
          <w:b/>
          <w:bCs/>
          <w:color w:val="auto"/>
          <w:szCs w:val="18"/>
          <w:highlight w:val="none"/>
        </w:rPr>
        <w:t>表10</w:t>
      </w:r>
      <w:r>
        <w:rPr>
          <w:rFonts w:ascii="Times New Roman" w:eastAsia="宋体" w:hAnsi="Times New Roman"/>
          <w:b/>
          <w:bCs/>
          <w:color w:val="auto"/>
          <w:szCs w:val="18"/>
          <w:highlight w:val="none"/>
        </w:rPr>
        <w:t>-2</w:t>
      </w:r>
      <w:r>
        <w:rPr>
          <w:rFonts w:ascii="Times New Roman" w:eastAsia="宋体" w:hAnsi="Times New Roman" w:hint="eastAsia"/>
          <w:b/>
          <w:bCs/>
          <w:color w:val="auto"/>
          <w:szCs w:val="18"/>
          <w:highlight w:val="none"/>
        </w:rPr>
        <w:t xml:space="preserve">  电信企业传输杆路需求表</w:t>
      </w:r>
    </w:p>
    <w:tbl>
      <w:tblPr>
        <w:tblStyle w:val="TableNormal"/>
        <w:tblW w:w="4101" w:type="pct"/>
        <w:jc w:val="center"/>
        <w:tblCellMar>
          <w:top w:w="0" w:type="dxa"/>
          <w:left w:w="0" w:type="dxa"/>
          <w:bottom w:w="0" w:type="dxa"/>
          <w:right w:w="0" w:type="dxa"/>
        </w:tblCellMar>
      </w:tblPr>
      <w:tblGrid>
        <w:gridCol w:w="1949"/>
        <w:gridCol w:w="3172"/>
        <w:gridCol w:w="3222"/>
      </w:tblGrid>
      <w:tr>
        <w:tblPrEx>
          <w:tblW w:w="4101" w:type="pct"/>
          <w:jc w:val="center"/>
          <w:tblCellMar>
            <w:top w:w="0" w:type="dxa"/>
            <w:left w:w="0" w:type="dxa"/>
            <w:bottom w:w="0" w:type="dxa"/>
            <w:right w:w="0" w:type="dxa"/>
          </w:tblCellMar>
        </w:tblPrEx>
        <w:trPr>
          <w:trHeight w:val="308"/>
          <w:tblHeader/>
          <w:jc w:val="center"/>
        </w:trPr>
        <w:tc>
          <w:tcPr>
            <w:tcW w:w="1168"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bottom w:w="0" w:type="dxa"/>
              <w:right w:w="10" w:type="dxa"/>
            </w:tcMar>
            <w:vAlign w:val="center"/>
          </w:tcPr>
          <w:p>
            <w:pPr>
              <w:widowControl/>
              <w:spacing w:line="240" w:lineRule="auto"/>
              <w:ind w:left="0" w:firstLine="0" w:firstLineChars="0"/>
              <w:jc w:val="center"/>
              <w:rPr>
                <w:rFonts w:ascii="Times New Roman" w:eastAsia="宋体" w:hAnsi="Times New Roman" w:cs="宋体"/>
                <w:b/>
                <w:bCs/>
                <w:color w:val="auto"/>
                <w:szCs w:val="21"/>
                <w:highlight w:val="none"/>
              </w:rPr>
            </w:pPr>
            <w:r>
              <w:rPr>
                <w:rFonts w:ascii="Times New Roman" w:eastAsia="宋体" w:hAnsi="Times New Roman" w:cs="宋体" w:hint="eastAsia"/>
                <w:b/>
                <w:bCs/>
                <w:color w:val="auto"/>
                <w:szCs w:val="21"/>
                <w:highlight w:val="none"/>
              </w:rPr>
              <w:t>区县</w:t>
            </w:r>
          </w:p>
        </w:tc>
        <w:tc>
          <w:tcPr>
            <w:tcW w:w="1901"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bottom w:w="0" w:type="dxa"/>
              <w:right w:w="10" w:type="dxa"/>
            </w:tcMar>
            <w:vAlign w:val="center"/>
          </w:tcPr>
          <w:p>
            <w:pPr>
              <w:widowControl/>
              <w:spacing w:line="240" w:lineRule="auto"/>
              <w:ind w:left="0" w:firstLine="0" w:firstLineChars="0"/>
              <w:jc w:val="center"/>
              <w:rPr>
                <w:rFonts w:ascii="Times New Roman" w:eastAsia="宋体" w:hAnsi="Times New Roman" w:cs="宋体"/>
                <w:b/>
                <w:bCs/>
                <w:color w:val="auto"/>
                <w:szCs w:val="21"/>
                <w:highlight w:val="none"/>
              </w:rPr>
            </w:pPr>
            <w:r>
              <w:rPr>
                <w:rFonts w:ascii="Times New Roman" w:eastAsia="宋体" w:hAnsi="Times New Roman" w:cs="宋体" w:hint="eastAsia"/>
                <w:b/>
                <w:bCs/>
                <w:color w:val="auto"/>
                <w:szCs w:val="21"/>
                <w:highlight w:val="none"/>
              </w:rPr>
              <w:t>杆路段落数</w:t>
            </w:r>
          </w:p>
        </w:tc>
        <w:tc>
          <w:tcPr>
            <w:tcW w:w="1931"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bottom w:w="0" w:type="dxa"/>
              <w:right w:w="10" w:type="dxa"/>
            </w:tcMar>
            <w:vAlign w:val="center"/>
          </w:tcPr>
          <w:p>
            <w:pPr>
              <w:widowControl/>
              <w:spacing w:line="240" w:lineRule="auto"/>
              <w:ind w:left="0" w:firstLine="0" w:firstLineChars="0"/>
              <w:jc w:val="center"/>
              <w:rPr>
                <w:rFonts w:ascii="Times New Roman" w:eastAsia="宋体" w:hAnsi="Times New Roman" w:cs="宋体"/>
                <w:b/>
                <w:bCs/>
                <w:color w:val="auto"/>
                <w:szCs w:val="21"/>
                <w:highlight w:val="none"/>
              </w:rPr>
            </w:pPr>
            <w:r>
              <w:rPr>
                <w:rFonts w:ascii="Times New Roman" w:eastAsia="宋体" w:hAnsi="Times New Roman" w:cs="宋体" w:hint="eastAsia"/>
                <w:b/>
                <w:bCs/>
                <w:color w:val="auto"/>
                <w:szCs w:val="21"/>
                <w:highlight w:val="none"/>
              </w:rPr>
              <w:t>杆路长度（公里）</w:t>
            </w:r>
          </w:p>
        </w:tc>
      </w:tr>
      <w:tr>
        <w:tblPrEx>
          <w:tblW w:w="4101" w:type="pct"/>
          <w:jc w:val="center"/>
          <w:tblCellMar>
            <w:top w:w="0" w:type="dxa"/>
            <w:left w:w="0" w:type="dxa"/>
            <w:bottom w:w="0" w:type="dxa"/>
            <w:right w:w="0" w:type="dxa"/>
          </w:tblCellMar>
        </w:tblPrEx>
        <w:trPr>
          <w:trHeight w:val="308"/>
          <w:tblHeader/>
          <w:jc w:val="center"/>
        </w:trPr>
        <w:tc>
          <w:tcPr>
            <w:tcW w:w="1168"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bottom w:w="0" w:type="dxa"/>
              <w:right w:w="10" w:type="dxa"/>
            </w:tcMar>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ascii="Times New Roman" w:eastAsia="宋体" w:hAnsi="Times New Roman" w:cs="宋体" w:hint="eastAsia"/>
                <w:color w:val="auto"/>
                <w:szCs w:val="21"/>
                <w:highlight w:val="none"/>
              </w:rPr>
              <w:t>玉州区</w:t>
            </w:r>
          </w:p>
        </w:tc>
        <w:tc>
          <w:tcPr>
            <w:tcW w:w="1901"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bottom w:w="0" w:type="dxa"/>
              <w:right w:w="10" w:type="dxa"/>
            </w:tcMar>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ascii="Times New Roman" w:eastAsia="宋体" w:hAnsi="Times New Roman" w:cs="宋体"/>
                <w:color w:val="auto"/>
                <w:szCs w:val="21"/>
                <w:highlight w:val="none"/>
              </w:rPr>
              <w:t>2</w:t>
            </w:r>
          </w:p>
        </w:tc>
        <w:tc>
          <w:tcPr>
            <w:tcW w:w="1931"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bottom w:w="0" w:type="dxa"/>
              <w:right w:w="10" w:type="dxa"/>
            </w:tcMar>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ascii="Times New Roman" w:eastAsia="宋体" w:hAnsi="Times New Roman" w:cs="宋体"/>
                <w:color w:val="auto"/>
                <w:szCs w:val="21"/>
                <w:highlight w:val="none"/>
              </w:rPr>
              <w:t>1.153</w:t>
            </w:r>
          </w:p>
        </w:tc>
      </w:tr>
      <w:tr>
        <w:tblPrEx>
          <w:tblW w:w="4101" w:type="pct"/>
          <w:jc w:val="center"/>
          <w:tblCellMar>
            <w:top w:w="0" w:type="dxa"/>
            <w:left w:w="0" w:type="dxa"/>
            <w:bottom w:w="0" w:type="dxa"/>
            <w:right w:w="0" w:type="dxa"/>
          </w:tblCellMar>
        </w:tblPrEx>
        <w:trPr>
          <w:trHeight w:val="308"/>
          <w:tblHeader/>
          <w:jc w:val="center"/>
        </w:trPr>
        <w:tc>
          <w:tcPr>
            <w:tcW w:w="1168"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bottom w:w="0" w:type="dxa"/>
              <w:right w:w="10" w:type="dxa"/>
            </w:tcMar>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ascii="Times New Roman" w:eastAsia="宋体" w:hAnsi="Times New Roman" w:cs="宋体" w:hint="eastAsia"/>
                <w:color w:val="auto"/>
                <w:szCs w:val="21"/>
                <w:highlight w:val="none"/>
              </w:rPr>
              <w:t>福绵区</w:t>
            </w:r>
          </w:p>
        </w:tc>
        <w:tc>
          <w:tcPr>
            <w:tcW w:w="1901"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bottom w:w="0" w:type="dxa"/>
              <w:right w:w="10" w:type="dxa"/>
            </w:tcMar>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ascii="Times New Roman" w:eastAsia="宋体" w:hAnsi="Times New Roman" w:cs="宋体" w:hint="eastAsia"/>
                <w:color w:val="auto"/>
                <w:szCs w:val="21"/>
                <w:highlight w:val="none"/>
              </w:rPr>
              <w:t>1</w:t>
            </w:r>
          </w:p>
        </w:tc>
        <w:tc>
          <w:tcPr>
            <w:tcW w:w="1931"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bottom w:w="0" w:type="dxa"/>
              <w:right w:w="10" w:type="dxa"/>
            </w:tcMar>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ascii="Times New Roman" w:eastAsia="宋体" w:hAnsi="Times New Roman" w:cs="宋体" w:hint="eastAsia"/>
                <w:color w:val="auto"/>
                <w:szCs w:val="21"/>
                <w:highlight w:val="none"/>
              </w:rPr>
              <w:t>1.63</w:t>
            </w:r>
          </w:p>
        </w:tc>
      </w:tr>
      <w:tr>
        <w:tblPrEx>
          <w:tblW w:w="4101" w:type="pct"/>
          <w:jc w:val="center"/>
          <w:tblCellMar>
            <w:top w:w="0" w:type="dxa"/>
            <w:left w:w="0" w:type="dxa"/>
            <w:bottom w:w="0" w:type="dxa"/>
            <w:right w:w="0" w:type="dxa"/>
          </w:tblCellMar>
        </w:tblPrEx>
        <w:trPr>
          <w:trHeight w:val="308"/>
          <w:tblHeader/>
          <w:jc w:val="center"/>
        </w:trPr>
        <w:tc>
          <w:tcPr>
            <w:tcW w:w="1168"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bottom w:w="0" w:type="dxa"/>
              <w:right w:w="10" w:type="dxa"/>
            </w:tcMar>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ascii="Times New Roman" w:eastAsia="宋体" w:hAnsi="Times New Roman" w:cs="宋体" w:hint="eastAsia"/>
                <w:color w:val="auto"/>
                <w:szCs w:val="21"/>
                <w:highlight w:val="none"/>
              </w:rPr>
              <w:t>北流市</w:t>
            </w:r>
          </w:p>
        </w:tc>
        <w:tc>
          <w:tcPr>
            <w:tcW w:w="1901"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bottom w:w="0" w:type="dxa"/>
              <w:right w:w="10" w:type="dxa"/>
            </w:tcMar>
            <w:vAlign w:val="center"/>
          </w:tcPr>
          <w:p>
            <w:pPr>
              <w:widowControl/>
              <w:spacing w:line="240" w:lineRule="auto"/>
              <w:ind w:left="0" w:firstLine="0" w:firstLineChars="0"/>
              <w:jc w:val="center"/>
              <w:rPr>
                <w:rFonts w:ascii="Times New Roman" w:eastAsia="宋体" w:hAnsi="Times New Roman" w:cs="宋体" w:hint="eastAsia"/>
                <w:color w:val="auto"/>
                <w:szCs w:val="21"/>
                <w:highlight w:val="none"/>
                <w:lang w:eastAsia="zh-CN"/>
              </w:rPr>
            </w:pPr>
            <w:r>
              <w:rPr>
                <w:rFonts w:ascii="Times New Roman" w:eastAsia="宋体" w:hAnsi="Times New Roman" w:cs="宋体" w:hint="eastAsia"/>
                <w:color w:val="auto"/>
                <w:szCs w:val="21"/>
                <w:highlight w:val="none"/>
                <w:lang w:val="en-US" w:eastAsia="zh-CN"/>
              </w:rPr>
              <w:t>9</w:t>
            </w:r>
          </w:p>
        </w:tc>
        <w:tc>
          <w:tcPr>
            <w:tcW w:w="1931"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bottom w:w="0" w:type="dxa"/>
              <w:right w:w="10" w:type="dxa"/>
            </w:tcMar>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ascii="Times New Roman" w:eastAsia="宋体" w:hAnsi="Times New Roman" w:cs="宋体" w:hint="eastAsia"/>
                <w:color w:val="auto"/>
                <w:szCs w:val="21"/>
                <w:highlight w:val="none"/>
              </w:rPr>
              <w:t>11.77</w:t>
            </w:r>
          </w:p>
        </w:tc>
      </w:tr>
      <w:tr>
        <w:tblPrEx>
          <w:tblW w:w="4101" w:type="pct"/>
          <w:jc w:val="center"/>
          <w:tblCellMar>
            <w:top w:w="0" w:type="dxa"/>
            <w:left w:w="0" w:type="dxa"/>
            <w:bottom w:w="0" w:type="dxa"/>
            <w:right w:w="0" w:type="dxa"/>
          </w:tblCellMar>
        </w:tblPrEx>
        <w:trPr>
          <w:trHeight w:val="308"/>
          <w:tblHeader/>
          <w:jc w:val="center"/>
        </w:trPr>
        <w:tc>
          <w:tcPr>
            <w:tcW w:w="1168"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bottom w:w="0" w:type="dxa"/>
              <w:right w:w="10" w:type="dxa"/>
            </w:tcMar>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ascii="Times New Roman" w:eastAsia="宋体" w:hAnsi="Times New Roman" w:cs="宋体" w:hint="eastAsia"/>
                <w:color w:val="auto"/>
                <w:szCs w:val="21"/>
                <w:highlight w:val="none"/>
              </w:rPr>
              <w:t>兴业县</w:t>
            </w:r>
          </w:p>
        </w:tc>
        <w:tc>
          <w:tcPr>
            <w:tcW w:w="1901"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bottom w:w="0" w:type="dxa"/>
              <w:right w:w="10" w:type="dxa"/>
            </w:tcMar>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ascii="Times New Roman" w:eastAsia="宋体" w:hAnsi="Times New Roman" w:cs="宋体" w:hint="eastAsia"/>
                <w:color w:val="auto"/>
                <w:szCs w:val="21"/>
                <w:highlight w:val="none"/>
              </w:rPr>
              <w:t>15</w:t>
            </w:r>
          </w:p>
        </w:tc>
        <w:tc>
          <w:tcPr>
            <w:tcW w:w="1931"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bottom w:w="0" w:type="dxa"/>
              <w:right w:w="10" w:type="dxa"/>
            </w:tcMar>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ascii="Times New Roman" w:eastAsia="宋体" w:hAnsi="Times New Roman" w:cs="宋体" w:hint="eastAsia"/>
                <w:color w:val="auto"/>
                <w:szCs w:val="21"/>
                <w:highlight w:val="none"/>
              </w:rPr>
              <w:t>25.98</w:t>
            </w:r>
          </w:p>
        </w:tc>
      </w:tr>
      <w:tr>
        <w:tblPrEx>
          <w:tblW w:w="4101" w:type="pct"/>
          <w:jc w:val="center"/>
          <w:tblCellMar>
            <w:top w:w="0" w:type="dxa"/>
            <w:left w:w="0" w:type="dxa"/>
            <w:bottom w:w="0" w:type="dxa"/>
            <w:right w:w="0" w:type="dxa"/>
          </w:tblCellMar>
        </w:tblPrEx>
        <w:trPr>
          <w:trHeight w:val="308"/>
          <w:tblHeader/>
          <w:jc w:val="center"/>
        </w:trPr>
        <w:tc>
          <w:tcPr>
            <w:tcW w:w="1168"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bottom w:w="0" w:type="dxa"/>
              <w:right w:w="10" w:type="dxa"/>
            </w:tcMar>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ascii="Times New Roman" w:eastAsia="宋体" w:hAnsi="Times New Roman" w:cs="宋体" w:hint="eastAsia"/>
                <w:color w:val="auto"/>
                <w:szCs w:val="21"/>
                <w:highlight w:val="none"/>
              </w:rPr>
              <w:t>容县</w:t>
            </w:r>
          </w:p>
        </w:tc>
        <w:tc>
          <w:tcPr>
            <w:tcW w:w="1901"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bottom w:w="0" w:type="dxa"/>
              <w:right w:w="10" w:type="dxa"/>
            </w:tcMar>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ascii="Times New Roman" w:eastAsia="宋体" w:hAnsi="Times New Roman" w:cs="宋体"/>
                <w:color w:val="auto"/>
                <w:szCs w:val="21"/>
                <w:highlight w:val="none"/>
              </w:rPr>
              <w:t>14</w:t>
            </w:r>
          </w:p>
        </w:tc>
        <w:tc>
          <w:tcPr>
            <w:tcW w:w="1931"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bottom w:w="0" w:type="dxa"/>
              <w:right w:w="10" w:type="dxa"/>
            </w:tcMar>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ascii="Times New Roman" w:eastAsia="宋体" w:hAnsi="Times New Roman" w:cs="宋体"/>
                <w:color w:val="auto"/>
                <w:szCs w:val="21"/>
                <w:highlight w:val="none"/>
              </w:rPr>
              <w:t>26.2</w:t>
            </w:r>
          </w:p>
        </w:tc>
      </w:tr>
      <w:tr>
        <w:tblPrEx>
          <w:tblW w:w="4101" w:type="pct"/>
          <w:jc w:val="center"/>
          <w:tblCellMar>
            <w:top w:w="0" w:type="dxa"/>
            <w:left w:w="0" w:type="dxa"/>
            <w:bottom w:w="0" w:type="dxa"/>
            <w:right w:w="0" w:type="dxa"/>
          </w:tblCellMar>
        </w:tblPrEx>
        <w:trPr>
          <w:trHeight w:val="308"/>
          <w:tblHeader/>
          <w:jc w:val="center"/>
        </w:trPr>
        <w:tc>
          <w:tcPr>
            <w:tcW w:w="1168"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bottom w:w="0" w:type="dxa"/>
              <w:right w:w="10" w:type="dxa"/>
            </w:tcMar>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ascii="Times New Roman" w:eastAsia="宋体" w:hAnsi="Times New Roman" w:cs="宋体" w:hint="eastAsia"/>
                <w:color w:val="auto"/>
                <w:szCs w:val="21"/>
                <w:highlight w:val="none"/>
              </w:rPr>
              <w:t>陆川县</w:t>
            </w:r>
          </w:p>
        </w:tc>
        <w:tc>
          <w:tcPr>
            <w:tcW w:w="1901"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bottom w:w="0" w:type="dxa"/>
              <w:right w:w="10" w:type="dxa"/>
            </w:tcMar>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ascii="Times New Roman" w:eastAsia="宋体" w:hAnsi="Times New Roman" w:cs="宋体" w:hint="eastAsia"/>
                <w:color w:val="auto"/>
                <w:szCs w:val="21"/>
                <w:highlight w:val="none"/>
              </w:rPr>
              <w:t>5</w:t>
            </w:r>
          </w:p>
        </w:tc>
        <w:tc>
          <w:tcPr>
            <w:tcW w:w="1931"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bottom w:w="0" w:type="dxa"/>
              <w:right w:w="10" w:type="dxa"/>
            </w:tcMar>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ascii="Times New Roman" w:eastAsia="宋体" w:hAnsi="Times New Roman" w:cs="宋体" w:hint="eastAsia"/>
                <w:color w:val="auto"/>
                <w:szCs w:val="21"/>
                <w:highlight w:val="none"/>
              </w:rPr>
              <w:t>11.24</w:t>
            </w:r>
          </w:p>
        </w:tc>
      </w:tr>
      <w:tr>
        <w:tblPrEx>
          <w:tblW w:w="4101" w:type="pct"/>
          <w:jc w:val="center"/>
          <w:tblCellMar>
            <w:top w:w="0" w:type="dxa"/>
            <w:left w:w="0" w:type="dxa"/>
            <w:bottom w:w="0" w:type="dxa"/>
            <w:right w:w="0" w:type="dxa"/>
          </w:tblCellMar>
        </w:tblPrEx>
        <w:trPr>
          <w:trHeight w:val="308"/>
          <w:tblHeader/>
          <w:jc w:val="center"/>
        </w:trPr>
        <w:tc>
          <w:tcPr>
            <w:tcW w:w="1168"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bottom w:w="0" w:type="dxa"/>
              <w:right w:w="10" w:type="dxa"/>
            </w:tcMar>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ascii="Times New Roman" w:eastAsia="宋体" w:hAnsi="Times New Roman" w:cs="宋体" w:hint="eastAsia"/>
                <w:color w:val="auto"/>
                <w:szCs w:val="21"/>
                <w:highlight w:val="none"/>
              </w:rPr>
              <w:t>博白县</w:t>
            </w:r>
          </w:p>
        </w:tc>
        <w:tc>
          <w:tcPr>
            <w:tcW w:w="1901"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bottom w:w="0" w:type="dxa"/>
              <w:right w:w="10" w:type="dxa"/>
            </w:tcMar>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ascii="Times New Roman" w:eastAsia="宋体" w:hAnsi="Times New Roman" w:cs="宋体" w:hint="eastAsia"/>
                <w:color w:val="auto"/>
                <w:szCs w:val="21"/>
                <w:highlight w:val="none"/>
              </w:rPr>
              <w:t>19</w:t>
            </w:r>
          </w:p>
        </w:tc>
        <w:tc>
          <w:tcPr>
            <w:tcW w:w="1931"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bottom w:w="0" w:type="dxa"/>
              <w:right w:w="10" w:type="dxa"/>
            </w:tcMar>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ascii="Times New Roman" w:eastAsia="宋体" w:hAnsi="Times New Roman" w:cs="宋体" w:hint="eastAsia"/>
                <w:color w:val="auto"/>
                <w:szCs w:val="21"/>
                <w:highlight w:val="none"/>
              </w:rPr>
              <w:t>181.4</w:t>
            </w:r>
          </w:p>
        </w:tc>
      </w:tr>
      <w:tr>
        <w:tblPrEx>
          <w:tblW w:w="4101" w:type="pct"/>
          <w:jc w:val="center"/>
          <w:tblCellMar>
            <w:top w:w="0" w:type="dxa"/>
            <w:left w:w="0" w:type="dxa"/>
            <w:bottom w:w="0" w:type="dxa"/>
            <w:right w:w="0" w:type="dxa"/>
          </w:tblCellMar>
        </w:tblPrEx>
        <w:trPr>
          <w:trHeight w:val="308"/>
          <w:tblHeader/>
          <w:jc w:val="center"/>
        </w:trPr>
        <w:tc>
          <w:tcPr>
            <w:tcW w:w="1168"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bottom w:w="0" w:type="dxa"/>
              <w:right w:w="10" w:type="dxa"/>
            </w:tcMar>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ascii="Times New Roman" w:eastAsia="宋体" w:hAnsi="Times New Roman" w:cs="宋体" w:hint="eastAsia"/>
                <w:color w:val="auto"/>
                <w:szCs w:val="21"/>
                <w:highlight w:val="none"/>
              </w:rPr>
              <w:t>合计</w:t>
            </w:r>
          </w:p>
        </w:tc>
        <w:tc>
          <w:tcPr>
            <w:tcW w:w="1901"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bottom w:w="0" w:type="dxa"/>
              <w:right w:w="10" w:type="dxa"/>
            </w:tcMar>
            <w:vAlign w:val="center"/>
          </w:tcPr>
          <w:p>
            <w:pPr>
              <w:widowControl/>
              <w:spacing w:line="240" w:lineRule="auto"/>
              <w:ind w:left="0" w:firstLine="0" w:firstLineChars="0"/>
              <w:jc w:val="center"/>
              <w:rPr>
                <w:rFonts w:ascii="Times New Roman" w:eastAsia="宋体" w:hAnsi="Times New Roman" w:cs="宋体" w:hint="default"/>
                <w:color w:val="auto"/>
                <w:szCs w:val="21"/>
                <w:highlight w:val="none"/>
                <w:lang w:val="en-US" w:eastAsia="zh-CN"/>
              </w:rPr>
            </w:pPr>
            <w:r>
              <w:rPr>
                <w:rFonts w:ascii="Times New Roman" w:eastAsia="宋体" w:hAnsi="Times New Roman" w:cs="宋体" w:hint="eastAsia"/>
                <w:color w:val="auto"/>
                <w:szCs w:val="21"/>
                <w:highlight w:val="none"/>
                <w:lang w:val="en-US" w:eastAsia="zh-CN"/>
              </w:rPr>
              <w:t>65</w:t>
            </w:r>
          </w:p>
        </w:tc>
        <w:tc>
          <w:tcPr>
            <w:tcW w:w="1931" w:type="pc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bottom w:w="0" w:type="dxa"/>
              <w:right w:w="10" w:type="dxa"/>
            </w:tcMar>
            <w:vAlign w:val="center"/>
          </w:tcPr>
          <w:p>
            <w:pPr>
              <w:widowControl/>
              <w:spacing w:line="240" w:lineRule="auto"/>
              <w:ind w:left="0" w:firstLine="0" w:firstLineChars="0"/>
              <w:jc w:val="center"/>
              <w:rPr>
                <w:rFonts w:ascii="Times New Roman" w:eastAsia="宋体" w:hAnsi="Times New Roman" w:cs="宋体"/>
                <w:color w:val="auto"/>
                <w:szCs w:val="21"/>
                <w:highlight w:val="none"/>
              </w:rPr>
            </w:pPr>
            <w:r>
              <w:rPr>
                <w:rFonts w:ascii="Times New Roman" w:eastAsia="宋体" w:hAnsi="Times New Roman" w:cs="宋体"/>
                <w:color w:val="auto"/>
                <w:szCs w:val="21"/>
                <w:highlight w:val="none"/>
              </w:rPr>
              <w:t>259.373</w:t>
            </w:r>
          </w:p>
        </w:tc>
      </w:tr>
    </w:tbl>
    <w:p>
      <w:pPr>
        <w:spacing w:line="240" w:lineRule="auto"/>
        <w:ind w:left="0" w:firstLine="422"/>
        <w:jc w:val="center"/>
        <w:rPr>
          <w:rFonts w:ascii="Times New Roman" w:eastAsia="宋体" w:hAnsi="Times New Roman" w:hint="eastAsia"/>
          <w:b/>
          <w:bCs/>
          <w:color w:val="auto"/>
          <w:szCs w:val="18"/>
          <w:highlight w:val="none"/>
        </w:rPr>
      </w:pPr>
    </w:p>
    <w:p>
      <w:pPr>
        <w:spacing w:line="240" w:lineRule="auto"/>
        <w:ind w:firstLine="640"/>
        <w:rPr>
          <w:rFonts w:ascii="Times New Roman" w:eastAsia="宋体" w:hAnsi="Times New Roman"/>
          <w:color w:val="auto"/>
          <w:sz w:val="32"/>
          <w:szCs w:val="32"/>
          <w:highlight w:val="none"/>
        </w:rPr>
      </w:pPr>
      <w:bookmarkEnd w:id="34"/>
      <w:bookmarkEnd w:id="35"/>
      <w:bookmarkStart w:id="52" w:name="_Toc476918206"/>
      <w:bookmarkStart w:id="53" w:name="_Toc6575264"/>
      <w:bookmarkStart w:id="54" w:name="_Toc471839848"/>
      <w:bookmarkStart w:id="55" w:name="_Toc464987984"/>
      <w:bookmarkStart w:id="56" w:name="_Toc6575273"/>
      <w:r>
        <w:rPr>
          <w:rFonts w:ascii="Times New Roman" w:eastAsia="宋体" w:hAnsi="Times New Roman" w:hint="eastAsia"/>
          <w:color w:val="auto"/>
          <w:sz w:val="32"/>
          <w:szCs w:val="32"/>
          <w:highlight w:val="none"/>
        </w:rPr>
        <w:br w:type="page"/>
      </w:r>
    </w:p>
    <w:p>
      <w:pPr>
        <w:pStyle w:val="Heading2"/>
        <w:spacing w:before="260" w:after="260" w:line="240" w:lineRule="auto"/>
        <w:ind w:left="0" w:firstLine="643"/>
        <w:rPr>
          <w:rFonts w:ascii="Times New Roman" w:eastAsia="宋体" w:hAnsi="Times New Roman"/>
          <w:color w:val="auto"/>
          <w:sz w:val="32"/>
          <w:szCs w:val="32"/>
          <w:highlight w:val="none"/>
        </w:rPr>
      </w:pPr>
      <w:bookmarkStart w:id="57" w:name="_Toc20535"/>
      <w:r>
        <w:rPr>
          <w:rFonts w:ascii="Times New Roman" w:eastAsia="宋体" w:hAnsi="Times New Roman" w:hint="eastAsia"/>
          <w:color w:val="auto"/>
          <w:sz w:val="32"/>
          <w:szCs w:val="32"/>
          <w:highlight w:val="none"/>
        </w:rPr>
        <w:t>第十一章 铁塔、机房与市电引入改造</w:t>
      </w:r>
      <w:bookmarkEnd w:id="57"/>
    </w:p>
    <w:p>
      <w:pPr>
        <w:pStyle w:val="Heading3"/>
        <w:spacing w:line="240" w:lineRule="auto"/>
        <w:ind w:left="0" w:firstLine="482"/>
        <w:rPr>
          <w:rFonts w:ascii="Times New Roman" w:eastAsia="宋体" w:hAnsi="Times New Roman" w:cstheme="majorEastAsia"/>
          <w:color w:val="auto"/>
          <w:sz w:val="24"/>
          <w:szCs w:val="24"/>
          <w:highlight w:val="none"/>
        </w:rPr>
      </w:pPr>
      <w:bookmarkStart w:id="58" w:name="_Toc8400"/>
      <w:r>
        <w:rPr>
          <w:rFonts w:ascii="Times New Roman" w:eastAsia="宋体" w:hAnsi="Times New Roman" w:cstheme="majorEastAsia" w:hint="eastAsia"/>
          <w:color w:val="auto"/>
          <w:sz w:val="24"/>
          <w:szCs w:val="24"/>
          <w:highlight w:val="none"/>
        </w:rPr>
        <w:t>一、通信</w:t>
      </w:r>
      <w:r>
        <w:rPr>
          <w:rFonts w:ascii="Times New Roman" w:eastAsia="宋体" w:hAnsi="Times New Roman" w:cstheme="majorEastAsia"/>
          <w:color w:val="auto"/>
          <w:sz w:val="24"/>
          <w:szCs w:val="24"/>
          <w:highlight w:val="none"/>
        </w:rPr>
        <w:t>铁塔分类及</w:t>
      </w:r>
      <w:r>
        <w:rPr>
          <w:rFonts w:ascii="Times New Roman" w:eastAsia="宋体" w:hAnsi="Times New Roman" w:cstheme="majorEastAsia" w:hint="eastAsia"/>
          <w:color w:val="auto"/>
          <w:sz w:val="24"/>
          <w:szCs w:val="24"/>
          <w:highlight w:val="none"/>
        </w:rPr>
        <w:t>应用</w:t>
      </w:r>
      <w:r>
        <w:rPr>
          <w:rFonts w:ascii="Times New Roman" w:eastAsia="宋体" w:hAnsi="Times New Roman" w:cstheme="majorEastAsia"/>
          <w:color w:val="auto"/>
          <w:sz w:val="24"/>
          <w:szCs w:val="24"/>
          <w:highlight w:val="none"/>
        </w:rPr>
        <w:t>原则</w:t>
      </w:r>
      <w:bookmarkEnd w:id="52"/>
      <w:bookmarkEnd w:id="53"/>
      <w:bookmarkEnd w:id="54"/>
      <w:bookmarkEnd w:id="55"/>
      <w:bookmarkEnd w:id="58"/>
      <w:r>
        <w:rPr>
          <w:rFonts w:ascii="Times New Roman" w:eastAsia="宋体" w:hAnsi="Times New Roman" w:cstheme="majorEastAsia"/>
          <w:color w:val="auto"/>
          <w:sz w:val="24"/>
          <w:szCs w:val="24"/>
          <w:highlight w:val="none"/>
        </w:rPr>
        <w:tab/>
      </w:r>
    </w:p>
    <w:p>
      <w:pPr>
        <w:pStyle w:val="Body"/>
        <w:spacing w:line="240" w:lineRule="auto"/>
        <w:ind w:right="0" w:firstLine="480"/>
        <w:rPr>
          <w:color w:val="auto"/>
          <w:highlight w:val="none"/>
        </w:rPr>
      </w:pPr>
      <w:r>
        <w:rPr>
          <w:rFonts w:hint="eastAsia"/>
          <w:color w:val="auto"/>
          <w:highlight w:val="none"/>
        </w:rPr>
        <w:t>通信铁塔分为自立式塔架、自立式塔架有角钢塔、钢管塔、普通单管塔、景观塔、路灯杆塔、仿生树、抱杆、增高架、支撑杆等。角钢塔主要由角钢构成；钢管塔主要由钢管和角钢构成；单管塔由单根钢管构成，主体多为圆形或多边形截面焊接钢管；灯杆景观塔由单根大直径钢管和装饰灯构成。</w:t>
      </w:r>
    </w:p>
    <w:p>
      <w:pPr>
        <w:pStyle w:val="Body"/>
        <w:spacing w:line="240" w:lineRule="auto"/>
        <w:ind w:right="0" w:firstLine="480"/>
        <w:rPr>
          <w:color w:val="auto"/>
          <w:highlight w:val="none"/>
        </w:rPr>
      </w:pPr>
      <w:r>
        <w:rPr>
          <w:rFonts w:hint="eastAsia"/>
          <w:color w:val="auto"/>
          <w:highlight w:val="none"/>
        </w:rPr>
        <w:t>通信铁塔应用场景：</w:t>
      </w:r>
    </w:p>
    <w:p>
      <w:pPr>
        <w:pStyle w:val="Body"/>
        <w:spacing w:line="240" w:lineRule="auto"/>
        <w:ind w:right="0" w:firstLine="480"/>
        <w:rPr>
          <w:color w:val="auto"/>
          <w:highlight w:val="none"/>
        </w:rPr>
      </w:pPr>
      <w:r>
        <w:rPr>
          <w:rFonts w:hint="eastAsia"/>
          <w:color w:val="auto"/>
          <w:highlight w:val="none"/>
        </w:rPr>
        <w:t>（1）角钢塔、钢管塔适用于县城、乡镇、田野、丘陵、山区等；</w:t>
      </w:r>
    </w:p>
    <w:p>
      <w:pPr>
        <w:pStyle w:val="Body"/>
        <w:spacing w:line="240" w:lineRule="auto"/>
        <w:ind w:right="0" w:firstLine="480"/>
        <w:rPr>
          <w:color w:val="auto"/>
          <w:highlight w:val="none"/>
        </w:rPr>
      </w:pPr>
      <w:r>
        <w:rPr>
          <w:rFonts w:hint="eastAsia"/>
          <w:color w:val="auto"/>
          <w:highlight w:val="none"/>
        </w:rPr>
        <w:t>（2）普通单管塔及景观塔适用于城区、居民小区、高校、商业区、景区、工业园区、新建开发区、道路、交通枢纽等；</w:t>
      </w:r>
    </w:p>
    <w:p>
      <w:pPr>
        <w:pStyle w:val="Body"/>
        <w:spacing w:line="240" w:lineRule="auto"/>
        <w:ind w:right="0" w:firstLine="480"/>
        <w:rPr>
          <w:color w:val="auto"/>
          <w:highlight w:val="none"/>
        </w:rPr>
      </w:pPr>
      <w:r>
        <w:rPr>
          <w:rFonts w:hint="eastAsia"/>
          <w:color w:val="auto"/>
          <w:highlight w:val="none"/>
        </w:rPr>
        <w:t>（3）路灯杆塔适用于城区道路、交通枢纽；</w:t>
      </w:r>
    </w:p>
    <w:p>
      <w:pPr>
        <w:pStyle w:val="Body"/>
        <w:spacing w:line="240" w:lineRule="auto"/>
        <w:ind w:right="0" w:firstLine="480"/>
        <w:rPr>
          <w:color w:val="auto"/>
          <w:highlight w:val="none"/>
        </w:rPr>
      </w:pPr>
      <w:r>
        <w:rPr>
          <w:rFonts w:hint="eastAsia"/>
          <w:color w:val="auto"/>
          <w:highlight w:val="none"/>
        </w:rPr>
        <w:t>（4）仿生树适用于景区；</w:t>
      </w:r>
    </w:p>
    <w:p>
      <w:pPr>
        <w:pStyle w:val="Body"/>
        <w:spacing w:line="240" w:lineRule="auto"/>
        <w:ind w:right="0" w:firstLine="480"/>
        <w:rPr>
          <w:color w:val="auto"/>
          <w:highlight w:val="none"/>
        </w:rPr>
      </w:pPr>
      <w:r>
        <w:rPr>
          <w:rFonts w:hint="eastAsia"/>
          <w:color w:val="auto"/>
          <w:highlight w:val="none"/>
        </w:rPr>
        <w:t>（5）屋顶拉线塔、增高架、支撑杆适用于县城、乡镇、工业园区、农村等屋面租用基站；</w:t>
      </w:r>
    </w:p>
    <w:p>
      <w:pPr>
        <w:pStyle w:val="Body"/>
        <w:spacing w:line="240" w:lineRule="auto"/>
        <w:ind w:right="0" w:firstLine="480"/>
        <w:rPr>
          <w:color w:val="auto"/>
          <w:highlight w:val="none"/>
        </w:rPr>
      </w:pPr>
      <w:r>
        <w:rPr>
          <w:rFonts w:hint="eastAsia"/>
          <w:color w:val="auto"/>
          <w:highlight w:val="none"/>
        </w:rPr>
        <w:t>（6）抱杆适用于城区、县城、乡镇、工业园区、居民小区等屋面租用基站。</w:t>
      </w:r>
    </w:p>
    <w:p>
      <w:pPr>
        <w:pStyle w:val="Body"/>
        <w:spacing w:line="240" w:lineRule="auto"/>
        <w:ind w:right="0" w:firstLine="480"/>
        <w:rPr>
          <w:color w:val="auto"/>
          <w:highlight w:val="none"/>
        </w:rPr>
      </w:pPr>
      <w:r>
        <w:rPr>
          <w:rFonts w:hint="eastAsia"/>
          <w:color w:val="auto"/>
          <w:highlight w:val="none"/>
        </w:rPr>
        <w:t>屋面基站铁塔选用：郊区、乡镇、农村地区建议使用拉线塔、抱杆；</w:t>
      </w:r>
    </w:p>
    <w:p>
      <w:pPr>
        <w:pStyle w:val="Body"/>
        <w:spacing w:line="240" w:lineRule="auto"/>
        <w:ind w:right="0" w:firstLine="480"/>
        <w:rPr>
          <w:color w:val="auto"/>
          <w:highlight w:val="none"/>
        </w:rPr>
      </w:pPr>
      <w:r>
        <w:rPr>
          <w:rFonts w:hint="eastAsia"/>
          <w:color w:val="auto"/>
          <w:highlight w:val="none"/>
        </w:rPr>
        <w:t>地面基站铁塔选用：郊区、乡镇、农村地区建议使用三管塔、单管塔及角钢塔；景区地区建议使用美化树、双轮景观塔、灯杆景观塔、插接式单管塔及路灯杆塔。</w:t>
      </w:r>
    </w:p>
    <w:p>
      <w:pPr>
        <w:pStyle w:val="Body"/>
        <w:spacing w:line="240" w:lineRule="auto"/>
        <w:ind w:right="0" w:firstLine="480"/>
        <w:rPr>
          <w:color w:val="auto"/>
          <w:highlight w:val="none"/>
        </w:rPr>
      </w:pPr>
      <w:r>
        <w:rPr>
          <w:rFonts w:hint="eastAsia"/>
          <w:color w:val="auto"/>
          <w:highlight w:val="none"/>
        </w:rPr>
        <w:t>主要铁塔类型图例和使用建议如下：</w:t>
      </w:r>
      <w:bookmarkStart w:id="59" w:name="_Toc403511874"/>
    </w:p>
    <w:p>
      <w:pPr>
        <w:pStyle w:val="Body"/>
        <w:spacing w:line="240" w:lineRule="auto"/>
        <w:ind w:right="0" w:firstLine="480"/>
        <w:rPr>
          <w:color w:val="auto"/>
          <w:highlight w:val="none"/>
        </w:rPr>
      </w:pPr>
      <w:r>
        <w:rPr>
          <w:rFonts w:hint="eastAsia"/>
          <w:color w:val="auto"/>
          <w:highlight w:val="none"/>
        </w:rPr>
        <w:t>（1）单管塔，主要用平地，交通便利场景。</w:t>
      </w:r>
    </w:p>
    <w:p>
      <w:pPr>
        <w:spacing w:line="240" w:lineRule="auto"/>
        <w:ind w:left="0" w:firstLine="0" w:firstLineChars="0"/>
        <w:contextualSpacing/>
        <w:jc w:val="center"/>
        <w:rPr>
          <w:rFonts w:ascii="Times New Roman" w:eastAsia="宋体" w:hAnsi="Times New Roman"/>
          <w:color w:val="auto"/>
          <w:highlight w:val="none"/>
        </w:rPr>
      </w:pPr>
      <w:r>
        <w:rPr>
          <w:rFonts w:ascii="Times New Roman" w:eastAsia="宋体" w:hAnsi="Times New Roman"/>
          <w:color w:val="auto"/>
          <w:szCs w:val="24"/>
          <w:highlight w:val="none"/>
        </w:rPr>
        <w:drawing>
          <wp:inline distT="0" distB="0" distL="0" distR="0">
            <wp:extent cx="1864360" cy="33762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rcRect l="48790" t="20888" r="42542" b="18233"/>
                    <a:stretch>
                      <a:fillRect/>
                    </a:stretch>
                  </pic:blipFill>
                  <pic:spPr>
                    <a:xfrm>
                      <a:off x="0" y="0"/>
                      <a:ext cx="1869281" cy="3385476"/>
                    </a:xfrm>
                    <a:prstGeom prst="rect">
                      <a:avLst/>
                    </a:prstGeom>
                    <a:noFill/>
                    <a:ln>
                      <a:noFill/>
                    </a:ln>
                  </pic:spPr>
                </pic:pic>
              </a:graphicData>
            </a:graphic>
          </wp:inline>
        </w:drawing>
      </w:r>
      <w:r>
        <w:rPr>
          <w:rFonts w:ascii="Times New Roman" w:eastAsia="宋体" w:hAnsi="Times New Roman"/>
          <w:color w:val="auto"/>
          <w:highlight w:val="none"/>
        </w:rPr>
        <w:drawing>
          <wp:inline distT="0" distB="0" distL="0" distR="0">
            <wp:extent cx="1885950" cy="32289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85950" cy="3228975"/>
                    </a:xfrm>
                    <a:prstGeom prst="rect">
                      <a:avLst/>
                    </a:prstGeom>
                    <a:noFill/>
                    <a:ln>
                      <a:noFill/>
                    </a:ln>
                  </pic:spPr>
                </pic:pic>
              </a:graphicData>
            </a:graphic>
          </wp:inline>
        </w:drawing>
      </w:r>
    </w:p>
    <w:p>
      <w:pPr>
        <w:pStyle w:val="Caption"/>
        <w:snapToGrid w:val="0"/>
        <w:ind w:firstLine="482"/>
        <w:jc w:val="center"/>
        <w:rPr>
          <w:rFonts w:ascii="Times New Roman" w:eastAsia="宋体" w:hAnsi="Times New Roman"/>
          <w:b/>
          <w:color w:val="auto"/>
          <w:sz w:val="21"/>
          <w:szCs w:val="21"/>
          <w:highlight w:val="none"/>
        </w:rPr>
      </w:pPr>
      <w:r>
        <w:rPr>
          <w:rFonts w:ascii="Times New Roman" w:eastAsia="宋体" w:hAnsi="Times New Roman"/>
          <w:b/>
          <w:color w:val="auto"/>
          <w:sz w:val="21"/>
          <w:szCs w:val="21"/>
          <w:highlight w:val="none"/>
        </w:rPr>
        <w:t>图</w:t>
      </w:r>
      <w:r>
        <w:rPr>
          <w:rFonts w:ascii="Times New Roman" w:eastAsia="宋体" w:hAnsi="Times New Roman" w:hint="eastAsia"/>
          <w:b/>
          <w:color w:val="auto"/>
          <w:sz w:val="21"/>
          <w:szCs w:val="21"/>
          <w:highlight w:val="none"/>
        </w:rPr>
        <w:t>11</w:t>
      </w:r>
      <w:r>
        <w:rPr>
          <w:rFonts w:ascii="Times New Roman" w:eastAsia="宋体" w:hAnsi="Times New Roman"/>
          <w:b/>
          <w:color w:val="auto"/>
          <w:sz w:val="21"/>
          <w:szCs w:val="21"/>
          <w:highlight w:val="none"/>
        </w:rPr>
        <w:t>-1</w:t>
      </w:r>
      <w:r>
        <w:rPr>
          <w:rFonts w:ascii="Times New Roman" w:eastAsia="宋体" w:hAnsi="Times New Roman" w:hint="eastAsia"/>
          <w:b/>
          <w:color w:val="auto"/>
          <w:sz w:val="21"/>
          <w:szCs w:val="21"/>
          <w:highlight w:val="none"/>
        </w:rPr>
        <w:t xml:space="preserve">  </w:t>
      </w:r>
      <w:r>
        <w:rPr>
          <w:rFonts w:ascii="Times New Roman" w:eastAsia="宋体" w:hAnsi="Times New Roman"/>
          <w:b/>
          <w:color w:val="auto"/>
          <w:sz w:val="21"/>
          <w:szCs w:val="21"/>
          <w:highlight w:val="none"/>
        </w:rPr>
        <w:t>插接式单管塔</w:t>
      </w:r>
    </w:p>
    <w:p>
      <w:pPr>
        <w:pStyle w:val="Body"/>
        <w:spacing w:line="240" w:lineRule="auto"/>
        <w:ind w:right="0" w:firstLine="480"/>
        <w:rPr>
          <w:color w:val="auto"/>
          <w:highlight w:val="none"/>
        </w:rPr>
      </w:pPr>
      <w:r>
        <w:rPr>
          <w:rFonts w:hint="eastAsia"/>
          <w:color w:val="auto"/>
          <w:highlight w:val="none"/>
        </w:rPr>
        <w:t>（2）美化仿生树</w:t>
      </w:r>
      <w:r>
        <w:rPr>
          <w:rFonts w:hint="eastAsia"/>
          <w:color w:val="auto"/>
          <w:highlight w:val="none"/>
          <w:lang w:eastAsia="zh-CN"/>
        </w:rPr>
        <w:t>，</w:t>
      </w:r>
      <w:r>
        <w:rPr>
          <w:rFonts w:hint="eastAsia"/>
          <w:color w:val="auto"/>
          <w:highlight w:val="none"/>
        </w:rPr>
        <w:t>用于古迹、风景区等有特殊要求的场景</w:t>
      </w:r>
      <w:bookmarkEnd w:id="59"/>
      <w:r>
        <w:rPr>
          <w:rFonts w:hint="eastAsia"/>
          <w:color w:val="auto"/>
          <w:highlight w:val="none"/>
        </w:rPr>
        <w:t>。</w:t>
      </w:r>
    </w:p>
    <w:p>
      <w:pPr>
        <w:pStyle w:val="Body"/>
        <w:spacing w:line="240" w:lineRule="auto"/>
        <w:ind w:right="0" w:firstLine="480"/>
        <w:jc w:val="center"/>
        <w:rPr>
          <w:color w:val="auto"/>
          <w:highlight w:val="none"/>
        </w:rPr>
      </w:pPr>
      <w:r>
        <w:rPr>
          <w:color w:val="auto"/>
          <w:highlight w:val="none"/>
        </w:rPr>
        <w:drawing>
          <wp:inline distT="0" distB="0" distL="0" distR="0">
            <wp:extent cx="1657350" cy="294322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rcRect l="40837" t="48837" r="52425" b="14721"/>
                    <a:stretch>
                      <a:fillRect/>
                    </a:stretch>
                  </pic:blipFill>
                  <pic:spPr>
                    <a:xfrm>
                      <a:off x="0" y="0"/>
                      <a:ext cx="1657350" cy="2943225"/>
                    </a:xfrm>
                    <a:prstGeom prst="rect">
                      <a:avLst/>
                    </a:prstGeom>
                    <a:noFill/>
                    <a:ln>
                      <a:noFill/>
                    </a:ln>
                  </pic:spPr>
                </pic:pic>
              </a:graphicData>
            </a:graphic>
          </wp:inline>
        </w:drawing>
      </w:r>
      <w:r>
        <w:rPr>
          <w:color w:val="auto"/>
          <w:highlight w:val="none"/>
        </w:rPr>
        <w:drawing>
          <wp:inline distT="0" distB="0" distL="0" distR="0">
            <wp:extent cx="2085975" cy="291465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085975" cy="2914650"/>
                    </a:xfrm>
                    <a:prstGeom prst="rect">
                      <a:avLst/>
                    </a:prstGeom>
                    <a:noFill/>
                    <a:ln>
                      <a:noFill/>
                    </a:ln>
                  </pic:spPr>
                </pic:pic>
              </a:graphicData>
            </a:graphic>
          </wp:inline>
        </w:drawing>
      </w:r>
    </w:p>
    <w:p>
      <w:pPr>
        <w:pStyle w:val="Caption"/>
        <w:snapToGrid w:val="0"/>
        <w:ind w:firstLine="482"/>
        <w:jc w:val="center"/>
        <w:rPr>
          <w:rFonts w:ascii="Times New Roman" w:eastAsia="宋体" w:hAnsi="Times New Roman"/>
          <w:b/>
          <w:color w:val="auto"/>
          <w:sz w:val="21"/>
          <w:szCs w:val="21"/>
          <w:highlight w:val="none"/>
        </w:rPr>
      </w:pPr>
      <w:r>
        <w:rPr>
          <w:rFonts w:ascii="Times New Roman" w:eastAsia="宋体" w:hAnsi="Times New Roman"/>
          <w:b/>
          <w:color w:val="auto"/>
          <w:sz w:val="21"/>
          <w:szCs w:val="21"/>
          <w:highlight w:val="none"/>
        </w:rPr>
        <w:t>图</w:t>
      </w:r>
      <w:r>
        <w:rPr>
          <w:rFonts w:ascii="Times New Roman" w:eastAsia="宋体" w:hAnsi="Times New Roman" w:hint="eastAsia"/>
          <w:b/>
          <w:color w:val="auto"/>
          <w:sz w:val="21"/>
          <w:szCs w:val="21"/>
          <w:highlight w:val="none"/>
        </w:rPr>
        <w:t>11</w:t>
      </w:r>
      <w:r>
        <w:rPr>
          <w:rFonts w:ascii="Times New Roman" w:eastAsia="宋体" w:hAnsi="Times New Roman"/>
          <w:b/>
          <w:color w:val="auto"/>
          <w:sz w:val="21"/>
          <w:szCs w:val="21"/>
          <w:highlight w:val="none"/>
        </w:rPr>
        <w:t>-2</w:t>
      </w:r>
      <w:r>
        <w:rPr>
          <w:rFonts w:ascii="Times New Roman" w:eastAsia="宋体" w:hAnsi="Times New Roman" w:hint="eastAsia"/>
          <w:b/>
          <w:color w:val="auto"/>
          <w:sz w:val="21"/>
          <w:szCs w:val="21"/>
          <w:highlight w:val="none"/>
        </w:rPr>
        <w:t xml:space="preserve">  美化仿生树</w:t>
      </w:r>
    </w:p>
    <w:p>
      <w:pPr>
        <w:pStyle w:val="Body"/>
        <w:spacing w:line="240" w:lineRule="auto"/>
        <w:ind w:right="0" w:firstLine="480"/>
        <w:rPr>
          <w:color w:val="auto"/>
          <w:highlight w:val="none"/>
        </w:rPr>
      </w:pPr>
      <w:r>
        <w:rPr>
          <w:rFonts w:hint="eastAsia"/>
          <w:color w:val="auto"/>
          <w:highlight w:val="none"/>
        </w:rPr>
        <w:t>（3）路灯杆</w:t>
      </w:r>
      <w:r>
        <w:rPr>
          <w:rFonts w:hint="eastAsia"/>
          <w:color w:val="auto"/>
          <w:highlight w:val="none"/>
          <w:lang w:eastAsia="zh-CN"/>
        </w:rPr>
        <w:t>，</w:t>
      </w:r>
      <w:r>
        <w:rPr>
          <w:rFonts w:hint="eastAsia"/>
          <w:color w:val="auto"/>
          <w:highlight w:val="none"/>
        </w:rPr>
        <w:t>用于景区等对景观有特殊要求的场景。</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contextualSpacing/>
        <w:jc w:val="center"/>
        <w:textAlignment w:val="auto"/>
        <w:rPr>
          <w:rFonts w:ascii="Times New Roman" w:eastAsia="宋体" w:hAnsi="Times New Roman" w:hint="eastAsia"/>
          <w:color w:val="auto"/>
          <w:szCs w:val="24"/>
          <w:highlight w:val="none"/>
          <w:lang w:eastAsia="zh-CN"/>
        </w:rPr>
      </w:pPr>
      <w:r>
        <w:rPr>
          <w:rFonts w:ascii="Times New Roman" w:eastAsia="宋体" w:hAnsi="Times New Roman" w:hint="eastAsia"/>
          <w:color w:val="auto"/>
          <w:szCs w:val="24"/>
          <w:highlight w:val="none"/>
        </w:rPr>
        <w:object>
          <v:shape id="_x0000_i1028" type="#_x0000_t75" style="height:274.6pt;width:109.65pt" o:oleicon="f" o:ole="" coordsize="21600,21600" o:preferrelative="t" filled="f" stroked="f">
            <v:stroke joinstyle="miter"/>
            <v:imagedata r:id="rId24" o:title="" croptop="4900f" cropbottom="12524f" cropleft="32624f" cropright="27590f"/>
            <o:lock v:ext="edit" aspectratio="t"/>
            <w10:anchorlock/>
          </v:shape>
          <o:OLEObject Type="Embed" ProgID="ZwCAD.Drawing" ShapeID="_x0000_i1028" DrawAspect="Content" ObjectID="_1468075725" r:id="rId25"/>
        </w:object>
      </w:r>
      <w:r>
        <w:rPr>
          <w:rFonts w:ascii="Times New Roman" w:eastAsia="宋体" w:hAnsi="Times New Roman"/>
          <w:color w:val="auto"/>
          <w:szCs w:val="24"/>
          <w:highlight w:val="none"/>
        </w:rPr>
        <w:drawing>
          <wp:inline distT="0" distB="0" distL="0" distR="0">
            <wp:extent cx="2301875" cy="3039110"/>
            <wp:effectExtent l="0" t="0" r="3175" b="8890"/>
            <wp:docPr id="12" name="图片 12" descr="$D_VH9UXOTKK$MI1%N7%C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_VH9UXOTKK$MI1%N7%CUW"/>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01875" cy="3039110"/>
                    </a:xfrm>
                    <a:prstGeom prst="rect">
                      <a:avLst/>
                    </a:prstGeom>
                    <a:noFill/>
                    <a:ln>
                      <a:noFill/>
                    </a:ln>
                  </pic:spPr>
                </pic:pic>
              </a:graphicData>
            </a:graphic>
          </wp:inline>
        </w:drawing>
      </w:r>
      <w:r>
        <w:rPr>
          <w:rFonts w:ascii="Times New Roman" w:eastAsia="宋体" w:hAnsi="Times New Roman" w:hint="eastAsia"/>
          <w:color w:val="auto"/>
          <w:szCs w:val="24"/>
          <w:highlight w:val="none"/>
          <w:lang w:eastAsia="zh-CN"/>
        </w:rPr>
        <w:drawing>
          <wp:inline distT="0" distB="0" distL="114300" distR="114300">
            <wp:extent cx="1809115" cy="3010535"/>
            <wp:effectExtent l="0" t="0" r="635" b="18415"/>
            <wp:docPr id="1" name="图片 1" descr="基站的各种塔-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基站的各种塔-1"/>
                    <pic:cNvPicPr>
                      <a:picLocks noChangeAspect="1"/>
                    </pic:cNvPicPr>
                  </pic:nvPicPr>
                  <pic:blipFill>
                    <a:blip xmlns:r="http://schemas.openxmlformats.org/officeDocument/2006/relationships" r:embed="rId27"/>
                    <a:srcRect l="18723" r="17240" b="20353"/>
                    <a:stretch>
                      <a:fillRect/>
                    </a:stretch>
                  </pic:blipFill>
                  <pic:spPr>
                    <a:xfrm>
                      <a:off x="0" y="0"/>
                      <a:ext cx="1809115" cy="3010535"/>
                    </a:xfrm>
                    <a:prstGeom prst="rect">
                      <a:avLst/>
                    </a:prstGeom>
                  </pic:spPr>
                </pic:pic>
              </a:graphicData>
            </a:graphic>
          </wp:inline>
        </w:drawing>
      </w:r>
    </w:p>
    <w:p>
      <w:pPr>
        <w:pStyle w:val="Caption"/>
        <w:snapToGrid w:val="0"/>
        <w:ind w:firstLine="482"/>
        <w:jc w:val="center"/>
        <w:rPr>
          <w:rFonts w:ascii="Times New Roman" w:eastAsia="宋体" w:hAnsi="Times New Roman"/>
          <w:b/>
          <w:color w:val="auto"/>
          <w:sz w:val="21"/>
          <w:szCs w:val="21"/>
          <w:highlight w:val="none"/>
        </w:rPr>
      </w:pPr>
      <w:r>
        <w:rPr>
          <w:rFonts w:ascii="Times New Roman" w:eastAsia="宋体" w:hAnsi="Times New Roman"/>
          <w:b/>
          <w:color w:val="auto"/>
          <w:sz w:val="21"/>
          <w:szCs w:val="21"/>
          <w:highlight w:val="none"/>
        </w:rPr>
        <w:t>图</w:t>
      </w:r>
      <w:r>
        <w:rPr>
          <w:rFonts w:ascii="Times New Roman" w:eastAsia="宋体" w:hAnsi="Times New Roman" w:hint="eastAsia"/>
          <w:b/>
          <w:color w:val="auto"/>
          <w:sz w:val="21"/>
          <w:szCs w:val="21"/>
          <w:highlight w:val="none"/>
        </w:rPr>
        <w:t>11</w:t>
      </w:r>
      <w:r>
        <w:rPr>
          <w:rFonts w:ascii="Times New Roman" w:eastAsia="宋体" w:hAnsi="Times New Roman"/>
          <w:b/>
          <w:color w:val="auto"/>
          <w:sz w:val="21"/>
          <w:szCs w:val="21"/>
          <w:highlight w:val="none"/>
        </w:rPr>
        <w:t>-3</w:t>
      </w:r>
      <w:r>
        <w:rPr>
          <w:rFonts w:ascii="Times New Roman" w:eastAsia="宋体" w:hAnsi="Times New Roman" w:hint="eastAsia"/>
          <w:b/>
          <w:color w:val="auto"/>
          <w:sz w:val="21"/>
          <w:szCs w:val="21"/>
          <w:highlight w:val="none"/>
        </w:rPr>
        <w:t xml:space="preserve">  路灯杆</w:t>
      </w:r>
    </w:p>
    <w:p>
      <w:pPr>
        <w:pStyle w:val="Body"/>
        <w:spacing w:line="240" w:lineRule="auto"/>
        <w:ind w:right="0" w:firstLine="480"/>
        <w:rPr>
          <w:bCs/>
          <w:color w:val="auto"/>
          <w:highlight w:val="none"/>
        </w:rPr>
      </w:pPr>
      <w:r>
        <w:rPr>
          <w:rFonts w:hint="eastAsia"/>
          <w:bCs/>
          <w:color w:val="auto"/>
          <w:highlight w:val="none"/>
        </w:rPr>
        <w:t>（4）角钢塔，用于荷载</w:t>
      </w:r>
      <w:r>
        <w:rPr>
          <w:rFonts w:hint="eastAsia"/>
          <w:bCs/>
          <w:color w:val="auto"/>
          <w:highlight w:val="none"/>
          <w:lang w:val="en-US" w:eastAsia="zh-CN"/>
        </w:rPr>
        <w:t>量</w:t>
      </w:r>
      <w:r>
        <w:rPr>
          <w:rFonts w:hint="eastAsia"/>
          <w:bCs/>
          <w:color w:val="auto"/>
          <w:highlight w:val="none"/>
        </w:rPr>
        <w:t>要求较大，或运输困难的山区：</w:t>
      </w:r>
    </w:p>
    <w:p>
      <w:pPr>
        <w:spacing w:line="240" w:lineRule="auto"/>
        <w:ind w:left="0" w:firstLine="420"/>
        <w:contextualSpacing/>
        <w:jc w:val="center"/>
        <w:rPr>
          <w:rFonts w:ascii="Times New Roman" w:eastAsia="宋体" w:hAnsi="Times New Roman"/>
          <w:color w:val="auto"/>
          <w:szCs w:val="24"/>
          <w:highlight w:val="none"/>
        </w:rPr>
      </w:pPr>
      <w:r>
        <w:rPr>
          <w:rFonts w:ascii="Times New Roman" w:eastAsia="宋体" w:hAnsi="Times New Roman"/>
          <w:color w:val="auto"/>
          <w:szCs w:val="24"/>
          <w:highlight w:val="none"/>
        </w:rPr>
        <w:drawing>
          <wp:inline distT="0" distB="0" distL="0" distR="0">
            <wp:extent cx="1377315" cy="3491230"/>
            <wp:effectExtent l="0" t="0" r="0" b="0"/>
            <wp:docPr id="11" name="图片 11" descr="N}J5$[Z84K73{TOI4RYJ4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N}J5$[Z84K73{TOI4RYJ4YW"/>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rcRect r="59031"/>
                    <a:stretch>
                      <a:fillRect/>
                    </a:stretch>
                  </pic:blipFill>
                  <pic:spPr>
                    <a:xfrm>
                      <a:off x="0" y="0"/>
                      <a:ext cx="1379247" cy="3495675"/>
                    </a:xfrm>
                    <a:prstGeom prst="rect">
                      <a:avLst/>
                    </a:prstGeom>
                    <a:noFill/>
                    <a:ln>
                      <a:noFill/>
                    </a:ln>
                  </pic:spPr>
                </pic:pic>
              </a:graphicData>
            </a:graphic>
          </wp:inline>
        </w:drawing>
      </w:r>
      <w:r>
        <w:rPr>
          <w:rFonts w:ascii="Times New Roman" w:eastAsia="宋体" w:hAnsi="Times New Roman"/>
          <w:color w:val="auto"/>
          <w:szCs w:val="24"/>
          <w:highlight w:val="none"/>
        </w:rPr>
        <w:drawing>
          <wp:inline distT="0" distB="0" distL="0" distR="0">
            <wp:extent cx="2571750" cy="3467100"/>
            <wp:effectExtent l="0" t="0" r="0" b="0"/>
            <wp:docPr id="10" name="图片 10" descr="6SDYUZ_P_NRI7XR%$@D]5X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SDYUZ_P_NRI7XR%$@D]5XK"/>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71750" cy="3467100"/>
                    </a:xfrm>
                    <a:prstGeom prst="rect">
                      <a:avLst/>
                    </a:prstGeom>
                    <a:noFill/>
                    <a:ln>
                      <a:noFill/>
                    </a:ln>
                  </pic:spPr>
                </pic:pic>
              </a:graphicData>
            </a:graphic>
          </wp:inline>
        </w:drawing>
      </w:r>
    </w:p>
    <w:p>
      <w:pPr>
        <w:pStyle w:val="Caption"/>
        <w:snapToGrid w:val="0"/>
        <w:ind w:firstLine="482"/>
        <w:jc w:val="center"/>
        <w:rPr>
          <w:rFonts w:ascii="Times New Roman" w:eastAsia="宋体" w:hAnsi="Times New Roman"/>
          <w:b/>
          <w:color w:val="auto"/>
          <w:sz w:val="21"/>
          <w:szCs w:val="21"/>
          <w:highlight w:val="none"/>
        </w:rPr>
      </w:pPr>
      <w:r>
        <w:rPr>
          <w:rFonts w:ascii="Times New Roman" w:eastAsia="宋体" w:hAnsi="Times New Roman"/>
          <w:b/>
          <w:color w:val="auto"/>
          <w:sz w:val="21"/>
          <w:szCs w:val="21"/>
          <w:highlight w:val="none"/>
        </w:rPr>
        <w:t>图</w:t>
      </w:r>
      <w:r>
        <w:rPr>
          <w:rFonts w:ascii="Times New Roman" w:eastAsia="宋体" w:hAnsi="Times New Roman" w:hint="eastAsia"/>
          <w:b/>
          <w:color w:val="auto"/>
          <w:sz w:val="21"/>
          <w:szCs w:val="21"/>
          <w:highlight w:val="none"/>
        </w:rPr>
        <w:t>11</w:t>
      </w:r>
      <w:r>
        <w:rPr>
          <w:rFonts w:ascii="Times New Roman" w:eastAsia="宋体" w:hAnsi="Times New Roman"/>
          <w:b/>
          <w:color w:val="auto"/>
          <w:sz w:val="21"/>
          <w:szCs w:val="21"/>
          <w:highlight w:val="none"/>
        </w:rPr>
        <w:t>-4</w:t>
      </w:r>
      <w:r>
        <w:rPr>
          <w:rFonts w:ascii="Times New Roman" w:eastAsia="宋体" w:hAnsi="Times New Roman" w:hint="eastAsia"/>
          <w:b/>
          <w:color w:val="auto"/>
          <w:sz w:val="21"/>
          <w:szCs w:val="21"/>
          <w:highlight w:val="none"/>
        </w:rPr>
        <w:t xml:space="preserve">  角钢塔</w:t>
      </w:r>
    </w:p>
    <w:p>
      <w:pPr>
        <w:pStyle w:val="Body"/>
        <w:spacing w:line="240" w:lineRule="auto"/>
        <w:ind w:right="0" w:firstLine="480"/>
        <w:rPr>
          <w:color w:val="auto"/>
          <w:highlight w:val="none"/>
        </w:rPr>
      </w:pPr>
      <w:r>
        <w:rPr>
          <w:rFonts w:hint="eastAsia"/>
          <w:color w:val="auto"/>
          <w:highlight w:val="none"/>
        </w:rPr>
        <w:t>（</w:t>
      </w:r>
      <w:r>
        <w:rPr>
          <w:rFonts w:hint="eastAsia"/>
          <w:color w:val="auto"/>
          <w:highlight w:val="none"/>
          <w:lang w:val="en-US" w:eastAsia="zh-CN"/>
        </w:rPr>
        <w:t>5</w:t>
      </w:r>
      <w:r>
        <w:rPr>
          <w:rFonts w:hint="eastAsia"/>
          <w:color w:val="auto"/>
          <w:highlight w:val="none"/>
        </w:rPr>
        <w:t>）拉线塔，用于开阔山区，农村，楼顶等场景。</w:t>
      </w:r>
    </w:p>
    <w:p>
      <w:pPr>
        <w:spacing w:line="240" w:lineRule="auto"/>
        <w:ind w:left="0" w:firstLine="420"/>
        <w:contextualSpacing/>
        <w:jc w:val="center"/>
        <w:rPr>
          <w:rFonts w:ascii="Times New Roman" w:eastAsia="宋体" w:hAnsi="Times New Roman"/>
          <w:color w:val="auto"/>
          <w:szCs w:val="24"/>
          <w:highlight w:val="none"/>
        </w:rPr>
      </w:pPr>
      <w:r>
        <w:rPr>
          <w:rFonts w:ascii="Times New Roman" w:eastAsia="宋体" w:hAnsi="Times New Roman"/>
          <w:color w:val="auto"/>
          <w:szCs w:val="24"/>
          <w:highlight w:val="none"/>
        </w:rPr>
        <w:drawing>
          <wp:inline distT="0" distB="0" distL="0" distR="0">
            <wp:extent cx="3209925" cy="3124200"/>
            <wp:effectExtent l="0" t="0" r="9525" b="0"/>
            <wp:docPr id="9" name="图片 9" descr="4N`4{WVIUH13PY3IEZ1H9Q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N`4{WVIUH13PY3IEZ1H9Q3"/>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209925" cy="3124200"/>
                    </a:xfrm>
                    <a:prstGeom prst="rect">
                      <a:avLst/>
                    </a:prstGeom>
                    <a:noFill/>
                    <a:ln>
                      <a:noFill/>
                    </a:ln>
                  </pic:spPr>
                </pic:pic>
              </a:graphicData>
            </a:graphic>
          </wp:inline>
        </w:drawing>
      </w:r>
      <w:r>
        <w:rPr>
          <w:rFonts w:ascii="Times New Roman" w:eastAsia="宋体" w:hAnsi="Times New Roman"/>
          <w:color w:val="auto"/>
          <w:szCs w:val="24"/>
          <w:highlight w:val="none"/>
        </w:rPr>
        <w:drawing>
          <wp:inline distT="0" distB="0" distL="0" distR="0">
            <wp:extent cx="2009775" cy="30765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009775" cy="3076575"/>
                    </a:xfrm>
                    <a:prstGeom prst="rect">
                      <a:avLst/>
                    </a:prstGeom>
                    <a:noFill/>
                    <a:ln>
                      <a:noFill/>
                    </a:ln>
                  </pic:spPr>
                </pic:pic>
              </a:graphicData>
            </a:graphic>
          </wp:inline>
        </w:drawing>
      </w:r>
    </w:p>
    <w:p>
      <w:pPr>
        <w:pStyle w:val="Caption"/>
        <w:snapToGrid w:val="0"/>
        <w:ind w:firstLine="482"/>
        <w:jc w:val="center"/>
        <w:rPr>
          <w:rFonts w:ascii="Times New Roman" w:eastAsia="宋体" w:hAnsi="Times New Roman"/>
          <w:b/>
          <w:color w:val="auto"/>
          <w:sz w:val="21"/>
          <w:szCs w:val="21"/>
          <w:highlight w:val="none"/>
        </w:rPr>
      </w:pPr>
      <w:r>
        <w:rPr>
          <w:rFonts w:ascii="Times New Roman" w:eastAsia="宋体" w:hAnsi="Times New Roman"/>
          <w:b/>
          <w:color w:val="auto"/>
          <w:sz w:val="21"/>
          <w:szCs w:val="21"/>
          <w:highlight w:val="none"/>
        </w:rPr>
        <w:t>图</w:t>
      </w:r>
      <w:r>
        <w:rPr>
          <w:rFonts w:ascii="Times New Roman" w:eastAsia="宋体" w:hAnsi="Times New Roman" w:hint="eastAsia"/>
          <w:b/>
          <w:color w:val="auto"/>
          <w:sz w:val="21"/>
          <w:szCs w:val="21"/>
          <w:highlight w:val="none"/>
        </w:rPr>
        <w:t>11</w:t>
      </w:r>
      <w:r>
        <w:rPr>
          <w:rFonts w:ascii="Times New Roman" w:eastAsia="宋体" w:hAnsi="Times New Roman"/>
          <w:b/>
          <w:color w:val="auto"/>
          <w:sz w:val="21"/>
          <w:szCs w:val="21"/>
          <w:highlight w:val="none"/>
        </w:rPr>
        <w:t>-5</w:t>
      </w:r>
      <w:r>
        <w:rPr>
          <w:rFonts w:ascii="Times New Roman" w:eastAsia="宋体" w:hAnsi="Times New Roman" w:hint="eastAsia"/>
          <w:b/>
          <w:color w:val="auto"/>
          <w:sz w:val="21"/>
          <w:szCs w:val="21"/>
          <w:highlight w:val="none"/>
        </w:rPr>
        <w:t xml:space="preserve">  拉线塔</w:t>
      </w:r>
    </w:p>
    <w:p>
      <w:pPr>
        <w:pStyle w:val="Body"/>
        <w:spacing w:line="240" w:lineRule="auto"/>
        <w:ind w:right="0" w:firstLine="480"/>
        <w:rPr>
          <w:color w:val="auto"/>
          <w:highlight w:val="none"/>
        </w:rPr>
      </w:pPr>
      <w:r>
        <w:rPr>
          <w:rFonts w:hint="eastAsia"/>
          <w:color w:val="auto"/>
          <w:highlight w:val="none"/>
        </w:rPr>
        <w:t>（</w:t>
      </w:r>
      <w:r>
        <w:rPr>
          <w:rFonts w:hint="eastAsia"/>
          <w:color w:val="auto"/>
          <w:highlight w:val="none"/>
          <w:lang w:val="en-US" w:eastAsia="zh-CN"/>
        </w:rPr>
        <w:t>6</w:t>
      </w:r>
      <w:r>
        <w:rPr>
          <w:rFonts w:hint="eastAsia"/>
          <w:color w:val="auto"/>
          <w:highlight w:val="none"/>
        </w:rPr>
        <w:t>）便携式塔房一体化</w:t>
      </w:r>
      <w:r>
        <w:rPr>
          <w:rFonts w:hint="eastAsia"/>
          <w:color w:val="auto"/>
          <w:highlight w:val="none"/>
          <w:lang w:eastAsia="zh-CN"/>
        </w:rPr>
        <w:t>，</w:t>
      </w:r>
      <w:r>
        <w:rPr>
          <w:rFonts w:hint="eastAsia"/>
          <w:color w:val="auto"/>
          <w:highlight w:val="none"/>
        </w:rPr>
        <w:t>用于居民阻扰，疑难站点区域，应急通信，信号保障有特殊要求的场景。</w:t>
      </w:r>
    </w:p>
    <w:p>
      <w:pPr>
        <w:spacing w:line="240" w:lineRule="auto"/>
        <w:ind w:left="0" w:firstLine="420"/>
        <w:contextualSpacing/>
        <w:jc w:val="center"/>
        <w:rPr>
          <w:rFonts w:ascii="Times New Roman" w:eastAsia="宋体" w:hAnsi="Times New Roman"/>
          <w:color w:val="auto"/>
          <w:szCs w:val="24"/>
          <w:highlight w:val="none"/>
        </w:rPr>
      </w:pPr>
      <w:r>
        <w:rPr>
          <w:rFonts w:ascii="Times New Roman" w:eastAsia="宋体" w:hAnsi="Times New Roman"/>
          <w:color w:val="auto"/>
          <w:szCs w:val="24"/>
          <w:highlight w:val="none"/>
        </w:rPr>
        <w:drawing>
          <wp:inline distT="0" distB="0" distL="0" distR="0">
            <wp:extent cx="2057400" cy="3190875"/>
            <wp:effectExtent l="0" t="0" r="0" b="9525"/>
            <wp:docPr id="7" name="图片 7" descr="$2VYG{2JPFF%_8{0D~HC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VYG{2JPFF%_8{0D~HC_]B"/>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057400" cy="3190875"/>
                    </a:xfrm>
                    <a:prstGeom prst="rect">
                      <a:avLst/>
                    </a:prstGeom>
                    <a:noFill/>
                    <a:ln>
                      <a:noFill/>
                    </a:ln>
                  </pic:spPr>
                </pic:pic>
              </a:graphicData>
            </a:graphic>
          </wp:inline>
        </w:drawing>
      </w:r>
      <w:r>
        <w:rPr>
          <w:rFonts w:ascii="Times New Roman" w:eastAsia="宋体" w:hAnsi="Times New Roman"/>
          <w:color w:val="auto"/>
          <w:szCs w:val="24"/>
          <w:highlight w:val="none"/>
        </w:rPr>
        <w:drawing>
          <wp:inline distT="0" distB="0" distL="0" distR="0">
            <wp:extent cx="2438400" cy="3257550"/>
            <wp:effectExtent l="0" t="0" r="0" b="0"/>
            <wp:docPr id="6" name="图片 6" descr="AMTH6V]`WA7_LV1~N[}P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MTH6V]`WA7_LV1~N[}P4$1"/>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38400" cy="3257550"/>
                    </a:xfrm>
                    <a:prstGeom prst="rect">
                      <a:avLst/>
                    </a:prstGeom>
                    <a:noFill/>
                    <a:ln>
                      <a:noFill/>
                    </a:ln>
                  </pic:spPr>
                </pic:pic>
              </a:graphicData>
            </a:graphic>
          </wp:inline>
        </w:drawing>
      </w:r>
    </w:p>
    <w:p>
      <w:pPr>
        <w:pStyle w:val="Caption"/>
        <w:snapToGrid w:val="0"/>
        <w:ind w:firstLine="482"/>
        <w:jc w:val="center"/>
        <w:rPr>
          <w:rFonts w:ascii="Times New Roman" w:eastAsia="宋体" w:hAnsi="Times New Roman"/>
          <w:b/>
          <w:color w:val="auto"/>
          <w:sz w:val="21"/>
          <w:szCs w:val="21"/>
          <w:highlight w:val="none"/>
        </w:rPr>
      </w:pPr>
      <w:r>
        <w:rPr>
          <w:rFonts w:ascii="Times New Roman" w:eastAsia="宋体" w:hAnsi="Times New Roman"/>
          <w:b/>
          <w:color w:val="auto"/>
          <w:sz w:val="21"/>
          <w:szCs w:val="21"/>
          <w:highlight w:val="none"/>
        </w:rPr>
        <w:t>图</w:t>
      </w:r>
      <w:r>
        <w:rPr>
          <w:rFonts w:ascii="Times New Roman" w:eastAsia="宋体" w:hAnsi="Times New Roman" w:hint="eastAsia"/>
          <w:b/>
          <w:color w:val="auto"/>
          <w:sz w:val="21"/>
          <w:szCs w:val="21"/>
          <w:highlight w:val="none"/>
        </w:rPr>
        <w:t>11</w:t>
      </w:r>
      <w:r>
        <w:rPr>
          <w:rFonts w:ascii="Times New Roman" w:eastAsia="宋体" w:hAnsi="Times New Roman"/>
          <w:b/>
          <w:color w:val="auto"/>
          <w:sz w:val="21"/>
          <w:szCs w:val="21"/>
          <w:highlight w:val="none"/>
        </w:rPr>
        <w:t>-6</w:t>
      </w:r>
      <w:r>
        <w:rPr>
          <w:rFonts w:ascii="Times New Roman" w:eastAsia="宋体" w:hAnsi="Times New Roman" w:hint="eastAsia"/>
          <w:b/>
          <w:color w:val="auto"/>
          <w:sz w:val="21"/>
          <w:szCs w:val="21"/>
          <w:highlight w:val="none"/>
        </w:rPr>
        <w:t xml:space="preserve">  塔房一体化</w:t>
      </w:r>
    </w:p>
    <w:p>
      <w:pPr>
        <w:pStyle w:val="Body"/>
        <w:spacing w:line="240" w:lineRule="auto"/>
        <w:ind w:right="0" w:firstLine="480"/>
        <w:rPr>
          <w:color w:val="auto"/>
          <w:highlight w:val="none"/>
        </w:rPr>
      </w:pPr>
      <w:r>
        <w:rPr>
          <w:rFonts w:hint="eastAsia"/>
          <w:color w:val="auto"/>
          <w:highlight w:val="none"/>
        </w:rPr>
        <w:t>（</w:t>
      </w:r>
      <w:r>
        <w:rPr>
          <w:rFonts w:hint="eastAsia"/>
          <w:color w:val="auto"/>
          <w:highlight w:val="none"/>
          <w:lang w:val="en-US" w:eastAsia="zh-CN"/>
        </w:rPr>
        <w:t>7</w:t>
      </w:r>
      <w:r>
        <w:rPr>
          <w:rFonts w:hint="eastAsia"/>
          <w:color w:val="auto"/>
          <w:highlight w:val="none"/>
        </w:rPr>
        <w:t>）三管塔，适用于交通不便利场景，如山头等：</w:t>
      </w:r>
    </w:p>
    <w:p>
      <w:pPr>
        <w:spacing w:line="240" w:lineRule="auto"/>
        <w:ind w:left="0" w:firstLine="420"/>
        <w:contextualSpacing/>
        <w:jc w:val="center"/>
        <w:rPr>
          <w:rFonts w:ascii="Times New Roman" w:eastAsia="宋体" w:hAnsi="Times New Roman"/>
          <w:color w:val="auto"/>
          <w:szCs w:val="24"/>
          <w:highlight w:val="none"/>
        </w:rPr>
      </w:pPr>
      <w:r>
        <w:rPr>
          <w:rFonts w:ascii="Times New Roman" w:eastAsia="宋体" w:hAnsi="Times New Roman"/>
          <w:color w:val="auto"/>
          <w:szCs w:val="24"/>
          <w:highlight w:val="none"/>
        </w:rPr>
        <w:drawing>
          <wp:inline distT="0" distB="0" distL="0" distR="0">
            <wp:extent cx="2647950" cy="31432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rcRect l="42137" t="4527" r="22179" b="6992"/>
                    <a:stretch>
                      <a:fillRect/>
                    </a:stretch>
                  </pic:blipFill>
                  <pic:spPr>
                    <a:xfrm>
                      <a:off x="0" y="0"/>
                      <a:ext cx="2647950" cy="3143250"/>
                    </a:xfrm>
                    <a:prstGeom prst="rect">
                      <a:avLst/>
                    </a:prstGeom>
                    <a:noFill/>
                    <a:ln>
                      <a:noFill/>
                    </a:ln>
                  </pic:spPr>
                </pic:pic>
              </a:graphicData>
            </a:graphic>
          </wp:inline>
        </w:drawing>
      </w:r>
      <w:r>
        <w:rPr>
          <w:rFonts w:ascii="Times New Roman" w:eastAsia="宋体" w:hAnsi="Times New Roman"/>
          <w:color w:val="auto"/>
          <w:szCs w:val="24"/>
          <w:highlight w:val="none"/>
        </w:rPr>
        <w:drawing>
          <wp:inline distT="0" distB="0" distL="0" distR="0">
            <wp:extent cx="2466975" cy="30670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66975" cy="3067050"/>
                    </a:xfrm>
                    <a:prstGeom prst="rect">
                      <a:avLst/>
                    </a:prstGeom>
                    <a:noFill/>
                    <a:ln>
                      <a:noFill/>
                    </a:ln>
                  </pic:spPr>
                </pic:pic>
              </a:graphicData>
            </a:graphic>
          </wp:inline>
        </w:drawing>
      </w:r>
    </w:p>
    <w:p>
      <w:pPr>
        <w:pStyle w:val="Caption"/>
        <w:snapToGrid w:val="0"/>
        <w:ind w:firstLine="482"/>
        <w:jc w:val="center"/>
        <w:rPr>
          <w:rFonts w:ascii="Times New Roman" w:eastAsia="宋体" w:hAnsi="Times New Roman"/>
          <w:b/>
          <w:color w:val="auto"/>
          <w:sz w:val="21"/>
          <w:szCs w:val="21"/>
          <w:highlight w:val="none"/>
        </w:rPr>
      </w:pPr>
      <w:r>
        <w:rPr>
          <w:rFonts w:ascii="Times New Roman" w:eastAsia="宋体" w:hAnsi="Times New Roman"/>
          <w:b/>
          <w:color w:val="auto"/>
          <w:sz w:val="21"/>
          <w:szCs w:val="21"/>
          <w:highlight w:val="none"/>
        </w:rPr>
        <w:t>图</w:t>
      </w:r>
      <w:r>
        <w:rPr>
          <w:rFonts w:ascii="Times New Roman" w:eastAsia="宋体" w:hAnsi="Times New Roman" w:hint="eastAsia"/>
          <w:b/>
          <w:color w:val="auto"/>
          <w:sz w:val="21"/>
          <w:szCs w:val="21"/>
          <w:highlight w:val="none"/>
        </w:rPr>
        <w:t>11</w:t>
      </w:r>
      <w:r>
        <w:rPr>
          <w:rFonts w:ascii="Times New Roman" w:eastAsia="宋体" w:hAnsi="Times New Roman"/>
          <w:b/>
          <w:color w:val="auto"/>
          <w:sz w:val="21"/>
          <w:szCs w:val="21"/>
          <w:highlight w:val="none"/>
        </w:rPr>
        <w:t>-7</w:t>
      </w:r>
      <w:r>
        <w:rPr>
          <w:rFonts w:ascii="Times New Roman" w:eastAsia="宋体" w:hAnsi="Times New Roman" w:hint="eastAsia"/>
          <w:b/>
          <w:color w:val="auto"/>
          <w:sz w:val="21"/>
          <w:szCs w:val="21"/>
          <w:highlight w:val="none"/>
        </w:rPr>
        <w:t xml:space="preserve">  三管塔</w:t>
      </w:r>
    </w:p>
    <w:p>
      <w:pPr>
        <w:pStyle w:val="Body"/>
        <w:spacing w:line="240" w:lineRule="auto"/>
        <w:ind w:right="0" w:firstLine="480"/>
        <w:rPr>
          <w:color w:val="auto"/>
          <w:highlight w:val="none"/>
        </w:rPr>
      </w:pPr>
      <w:r>
        <w:rPr>
          <w:rFonts w:hint="eastAsia"/>
          <w:color w:val="auto"/>
          <w:highlight w:val="none"/>
        </w:rPr>
        <w:t>（</w:t>
      </w:r>
      <w:r>
        <w:rPr>
          <w:rFonts w:hint="eastAsia"/>
          <w:color w:val="auto"/>
          <w:highlight w:val="none"/>
          <w:lang w:val="en-US" w:eastAsia="zh-CN"/>
        </w:rPr>
        <w:t>8</w:t>
      </w:r>
      <w:r>
        <w:rPr>
          <w:rFonts w:hint="eastAsia"/>
          <w:color w:val="auto"/>
          <w:highlight w:val="none"/>
        </w:rPr>
        <w:t>）屋面支撑杆，主要适用于楼顶场景。</w:t>
      </w:r>
    </w:p>
    <w:p>
      <w:pPr>
        <w:spacing w:line="240" w:lineRule="auto"/>
        <w:ind w:left="0" w:firstLine="0" w:firstLineChars="0"/>
        <w:contextualSpacing/>
        <w:jc w:val="center"/>
        <w:rPr>
          <w:rFonts w:ascii="Times New Roman" w:eastAsia="宋体" w:hAnsi="Times New Roman"/>
          <w:color w:val="auto"/>
          <w:szCs w:val="24"/>
          <w:highlight w:val="none"/>
        </w:rPr>
      </w:pPr>
      <w:r>
        <w:rPr>
          <w:rFonts w:ascii="Times New Roman" w:eastAsia="宋体" w:hAnsi="Times New Roman"/>
          <w:color w:val="auto"/>
          <w:szCs w:val="24"/>
          <w:highlight w:val="none"/>
        </w:rPr>
        <w:drawing>
          <wp:inline distT="0" distB="0" distL="0" distR="0">
            <wp:extent cx="2680970" cy="30937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rcRect l="5002" t="4071" r="5545" b="1874"/>
                    <a:stretch>
                      <a:fillRect/>
                    </a:stretch>
                  </pic:blipFill>
                  <pic:spPr>
                    <a:xfrm>
                      <a:off x="0" y="0"/>
                      <a:ext cx="2682462" cy="3095149"/>
                    </a:xfrm>
                    <a:prstGeom prst="rect">
                      <a:avLst/>
                    </a:prstGeom>
                    <a:noFill/>
                    <a:ln>
                      <a:noFill/>
                    </a:ln>
                  </pic:spPr>
                </pic:pic>
              </a:graphicData>
            </a:graphic>
          </wp:inline>
        </w:drawing>
      </w:r>
      <w:r>
        <w:rPr>
          <w:rFonts w:ascii="Times New Roman" w:eastAsia="宋体" w:hAnsi="Times New Roman"/>
          <w:color w:val="auto"/>
          <w:szCs w:val="24"/>
          <w:highlight w:val="none"/>
        </w:rPr>
        <w:drawing>
          <wp:inline distT="0" distB="0" distL="0" distR="0">
            <wp:extent cx="2551430" cy="3159760"/>
            <wp:effectExtent l="0" t="0" r="127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50053" cy="3158077"/>
                    </a:xfrm>
                    <a:prstGeom prst="rect">
                      <a:avLst/>
                    </a:prstGeom>
                    <a:noFill/>
                    <a:ln>
                      <a:noFill/>
                    </a:ln>
                  </pic:spPr>
                </pic:pic>
              </a:graphicData>
            </a:graphic>
          </wp:inline>
        </w:drawing>
      </w:r>
    </w:p>
    <w:p>
      <w:pPr>
        <w:pStyle w:val="Caption"/>
        <w:snapToGrid w:val="0"/>
        <w:ind w:firstLine="482"/>
        <w:jc w:val="center"/>
        <w:rPr>
          <w:rFonts w:ascii="Times New Roman" w:eastAsia="宋体" w:hAnsi="Times New Roman"/>
          <w:b/>
          <w:color w:val="auto"/>
          <w:sz w:val="21"/>
          <w:szCs w:val="21"/>
          <w:highlight w:val="none"/>
        </w:rPr>
      </w:pPr>
      <w:r>
        <w:rPr>
          <w:rFonts w:ascii="Times New Roman" w:eastAsia="宋体" w:hAnsi="Times New Roman"/>
          <w:b/>
          <w:color w:val="auto"/>
          <w:sz w:val="21"/>
          <w:szCs w:val="21"/>
          <w:highlight w:val="none"/>
        </w:rPr>
        <w:t>图</w:t>
      </w:r>
      <w:r>
        <w:rPr>
          <w:rFonts w:ascii="Times New Roman" w:eastAsia="宋体" w:hAnsi="Times New Roman" w:hint="eastAsia"/>
          <w:b/>
          <w:color w:val="auto"/>
          <w:sz w:val="21"/>
          <w:szCs w:val="21"/>
          <w:highlight w:val="none"/>
        </w:rPr>
        <w:t>11</w:t>
      </w:r>
      <w:r>
        <w:rPr>
          <w:rFonts w:ascii="Times New Roman" w:eastAsia="宋体" w:hAnsi="Times New Roman"/>
          <w:b/>
          <w:color w:val="auto"/>
          <w:sz w:val="21"/>
          <w:szCs w:val="21"/>
          <w:highlight w:val="none"/>
        </w:rPr>
        <w:t>-8</w:t>
      </w:r>
      <w:r>
        <w:rPr>
          <w:rFonts w:ascii="Times New Roman" w:eastAsia="宋体" w:hAnsi="Times New Roman" w:hint="eastAsia"/>
          <w:b/>
          <w:color w:val="auto"/>
          <w:sz w:val="21"/>
          <w:szCs w:val="21"/>
          <w:highlight w:val="none"/>
        </w:rPr>
        <w:t xml:space="preserve">  屋面支撑杆</w:t>
      </w:r>
      <w:bookmarkStart w:id="60" w:name="_Toc6575266"/>
    </w:p>
    <w:p>
      <w:pPr>
        <w:pStyle w:val="Heading3"/>
        <w:spacing w:line="240" w:lineRule="auto"/>
        <w:ind w:left="0" w:firstLine="482"/>
        <w:rPr>
          <w:rFonts w:ascii="Times New Roman" w:eastAsia="宋体" w:hAnsi="Times New Roman" w:cstheme="majorEastAsia"/>
          <w:color w:val="auto"/>
          <w:sz w:val="24"/>
          <w:szCs w:val="24"/>
          <w:highlight w:val="none"/>
        </w:rPr>
      </w:pPr>
      <w:bookmarkStart w:id="61" w:name="_Toc44873576"/>
      <w:bookmarkStart w:id="62" w:name="_Toc5812"/>
      <w:r>
        <w:rPr>
          <w:rFonts w:ascii="Times New Roman" w:eastAsia="宋体" w:hAnsi="Times New Roman" w:cstheme="majorEastAsia" w:hint="eastAsia"/>
          <w:color w:val="auto"/>
          <w:sz w:val="24"/>
          <w:szCs w:val="24"/>
          <w:highlight w:val="none"/>
        </w:rPr>
        <w:t>二、智慧路灯杆</w:t>
      </w:r>
      <w:bookmarkEnd w:id="61"/>
      <w:r>
        <w:rPr>
          <w:rFonts w:ascii="Times New Roman" w:eastAsia="宋体" w:hAnsi="Times New Roman" w:cstheme="majorEastAsia" w:hint="eastAsia"/>
          <w:color w:val="auto"/>
          <w:sz w:val="24"/>
          <w:szCs w:val="24"/>
          <w:highlight w:val="none"/>
        </w:rPr>
        <w:t>应用原则</w:t>
      </w:r>
      <w:bookmarkEnd w:id="62"/>
    </w:p>
    <w:p>
      <w:pPr>
        <w:pStyle w:val="ListParagraph"/>
        <w:spacing w:line="240" w:lineRule="auto"/>
        <w:ind w:left="0" w:firstLine="480"/>
        <w:jc w:val="left"/>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智慧路灯杆是物联网在城市中的重点应用领域，因智慧路灯具有通电、联网、分布广泛可渗入到城市的各个角落等特点，而被视为万物联网的必要基础设施，通过整合视频监控、多媒体信息屏、公共广播、环境监测等硬件功能，助力平安城市和智慧园区的建设。</w:t>
      </w:r>
    </w:p>
    <w:p>
      <w:pPr>
        <w:pStyle w:val="ListParagraph"/>
        <w:spacing w:line="240" w:lineRule="auto"/>
        <w:ind w:left="0" w:firstLine="480"/>
        <w:jc w:val="left"/>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1、智慧路灯杆系统特点</w:t>
      </w:r>
    </w:p>
    <w:p>
      <w:pPr>
        <w:pStyle w:val="ListParagraph"/>
        <w:spacing w:line="240" w:lineRule="auto"/>
        <w:ind w:left="420" w:firstLine="0" w:leftChars="200" w:firstLineChars="0"/>
        <w:jc w:val="left"/>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（1）功能模块化</w:t>
      </w:r>
      <w:r>
        <w:rPr>
          <w:rFonts w:ascii="Times New Roman" w:eastAsia="宋体" w:hAnsi="Times New Roman"/>
          <w:color w:val="auto"/>
          <w:sz w:val="24"/>
          <w:szCs w:val="24"/>
          <w:highlight w:val="none"/>
        </w:rPr>
        <w:t xml:space="preserve"> </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以智慧照明系统为基础功能，可选配备WIFI热点覆盖功能、摄像头模块、充电桩功能、4G</w:t>
      </w:r>
      <w:r>
        <w:rPr>
          <w:rFonts w:ascii="Times New Roman" w:eastAsia="宋体" w:hAnsi="Times New Roman"/>
          <w:color w:val="auto"/>
          <w:sz w:val="24"/>
          <w:szCs w:val="24"/>
          <w:highlight w:val="none"/>
        </w:rPr>
        <w:t>/5G</w:t>
      </w:r>
      <w:r>
        <w:rPr>
          <w:rFonts w:ascii="Times New Roman" w:eastAsia="宋体" w:hAnsi="Times New Roman" w:hint="eastAsia"/>
          <w:color w:val="auto"/>
          <w:sz w:val="24"/>
          <w:szCs w:val="24"/>
          <w:highlight w:val="none"/>
        </w:rPr>
        <w:t xml:space="preserve">信号覆盖功能、物联网RFID以及信息发布功能等。灯杆采用模块化设计，各功能模块相互独立，预留安装孔位、供电模块、传输模块等。可以根据客户需要，按需组合、灵活配置，以适应不同的使用场景。 </w:t>
      </w:r>
    </w:p>
    <w:p>
      <w:pPr>
        <w:pStyle w:val="ListParagraph"/>
        <w:spacing w:line="240" w:lineRule="auto"/>
        <w:ind w:left="420" w:firstLine="0" w:leftChars="200" w:firstLineChars="0"/>
        <w:jc w:val="left"/>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（2）供电智能化</w:t>
      </w:r>
      <w:r>
        <w:rPr>
          <w:rFonts w:ascii="Times New Roman" w:eastAsia="宋体" w:hAnsi="Times New Roman"/>
          <w:color w:val="auto"/>
          <w:sz w:val="24"/>
          <w:szCs w:val="24"/>
          <w:highlight w:val="none"/>
        </w:rPr>
        <w:t xml:space="preserve"> </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 xml:space="preserve">智慧灯杆各功能模块都有供电的需求，需要智慧灯杆系统配置工业级智能配电模块，支持电压、电流、功率自动检测，自带报警功能、过压超载熔断功能。 </w:t>
      </w:r>
    </w:p>
    <w:p>
      <w:pPr>
        <w:pStyle w:val="ListParagraph"/>
        <w:spacing w:line="240" w:lineRule="auto"/>
        <w:ind w:left="420" w:firstLine="0" w:leftChars="200" w:firstLineChars="0"/>
        <w:jc w:val="left"/>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（3）控制集中化</w:t>
      </w:r>
      <w:r>
        <w:rPr>
          <w:rFonts w:ascii="Times New Roman" w:eastAsia="宋体" w:hAnsi="Times New Roman"/>
          <w:color w:val="auto"/>
          <w:sz w:val="24"/>
          <w:szCs w:val="24"/>
          <w:highlight w:val="none"/>
        </w:rPr>
        <w:t xml:space="preserve"> </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配合智慧灯杆运营平台，除可以对所有照明系统</w:t>
      </w:r>
      <w:r>
        <w:rPr>
          <w:rFonts w:ascii="Times New Roman" w:eastAsia="宋体" w:hAnsi="Times New Roman" w:hint="eastAsia"/>
          <w:color w:val="auto"/>
          <w:sz w:val="24"/>
          <w:szCs w:val="24"/>
          <w:highlight w:val="none"/>
          <w:lang w:val="en-US" w:eastAsia="zh-CN"/>
        </w:rPr>
        <w:t>进行</w:t>
      </w:r>
      <w:r>
        <w:rPr>
          <w:rFonts w:ascii="Times New Roman" w:eastAsia="宋体" w:hAnsi="Times New Roman" w:hint="eastAsia"/>
          <w:color w:val="auto"/>
          <w:sz w:val="24"/>
          <w:szCs w:val="24"/>
          <w:highlight w:val="none"/>
        </w:rPr>
        <w:t xml:space="preserve">集中控制之外，采用了ZigBee、电力线载波等通信方式，对充电桩、城市传感功能各功能模块之间进行互联，真正进入实现物物互联的时代。在运营平台上可以对这些功能单元的工作状态进行监控，并及时生成故障告警信息，大大降低了人工巡检成本，达到低成本快速响应的效果。 </w:t>
      </w:r>
    </w:p>
    <w:p>
      <w:pPr>
        <w:pStyle w:val="ListParagraph"/>
        <w:spacing w:line="240" w:lineRule="auto"/>
        <w:ind w:left="420" w:firstLine="0" w:leftChars="200" w:firstLineChars="0"/>
        <w:jc w:val="left"/>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（4）通信模式分层化</w:t>
      </w:r>
      <w:r>
        <w:rPr>
          <w:rFonts w:ascii="Times New Roman" w:eastAsia="宋体" w:hAnsi="Times New Roman"/>
          <w:color w:val="auto"/>
          <w:sz w:val="24"/>
          <w:szCs w:val="24"/>
          <w:highlight w:val="none"/>
        </w:rPr>
        <w:t xml:space="preserve"> </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对于传输信息量小的传输需求，如控制信息上报、状态采集等，采用</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ZigBee或者WIFi等方式，对于视频监控、4G覆盖、WIFi覆盖等传输需求，采用4G</w:t>
      </w:r>
      <w:r>
        <w:rPr>
          <w:rFonts w:ascii="Times New Roman" w:eastAsia="宋体" w:hAnsi="Times New Roman"/>
          <w:color w:val="auto"/>
          <w:sz w:val="24"/>
          <w:szCs w:val="24"/>
          <w:highlight w:val="none"/>
        </w:rPr>
        <w:t>/5G</w:t>
      </w:r>
      <w:r>
        <w:rPr>
          <w:rFonts w:ascii="Times New Roman" w:eastAsia="宋体" w:hAnsi="Times New Roman" w:hint="eastAsia"/>
          <w:color w:val="auto"/>
          <w:sz w:val="24"/>
          <w:szCs w:val="24"/>
          <w:highlight w:val="none"/>
        </w:rPr>
        <w:t>、GPON等高速率传输模式。</w:t>
      </w:r>
    </w:p>
    <w:p>
      <w:pPr>
        <w:pStyle w:val="ListParagraph"/>
        <w:spacing w:line="240" w:lineRule="auto"/>
        <w:ind w:left="0" w:firstLine="480"/>
        <w:jc w:val="left"/>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2、组网架构</w:t>
      </w:r>
    </w:p>
    <w:p>
      <w:pPr>
        <w:spacing w:line="240" w:lineRule="auto"/>
        <w:ind w:left="0" w:firstLine="480"/>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智慧灯杆系统整体组网架构，分为三层，如下：</w:t>
      </w:r>
    </w:p>
    <w:p>
      <w:pPr>
        <w:pStyle w:val="a14"/>
        <w:spacing w:line="240" w:lineRule="auto"/>
        <w:ind w:firstLine="420"/>
        <w:rPr>
          <w:color w:val="auto"/>
          <w:szCs w:val="24"/>
          <w:highlight w:val="none"/>
        </w:rPr>
      </w:pPr>
      <w:r>
        <w:rPr>
          <w:color w:val="auto"/>
          <w:szCs w:val="24"/>
          <w:highlight w:val="none"/>
        </w:rPr>
        <w:drawing>
          <wp:inline distT="0" distB="0" distL="0" distR="0">
            <wp:extent cx="5759450" cy="3005455"/>
            <wp:effectExtent l="0" t="0" r="0" b="4445"/>
            <wp:docPr id="20" name="图片 20" descr="智慧路灯杆组网架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智慧路灯杆组网架构图"/>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760000" cy="3005930"/>
                    </a:xfrm>
                    <a:prstGeom prst="rect">
                      <a:avLst/>
                    </a:prstGeom>
                    <a:noFill/>
                    <a:ln>
                      <a:noFill/>
                    </a:ln>
                  </pic:spPr>
                </pic:pic>
              </a:graphicData>
            </a:graphic>
          </wp:inline>
        </w:drawing>
      </w:r>
    </w:p>
    <w:p>
      <w:pPr>
        <w:pStyle w:val="a14"/>
        <w:spacing w:line="240" w:lineRule="auto"/>
        <w:ind w:firstLine="420"/>
        <w:rPr>
          <w:b/>
          <w:bCs/>
          <w:color w:val="auto"/>
          <w:szCs w:val="24"/>
          <w:highlight w:val="none"/>
        </w:rPr>
      </w:pPr>
      <w:r>
        <w:rPr>
          <w:rFonts w:hint="eastAsia"/>
          <w:b/>
          <w:bCs/>
          <w:color w:val="auto"/>
          <w:szCs w:val="24"/>
          <w:highlight w:val="none"/>
        </w:rPr>
        <w:t xml:space="preserve">图11-9  </w:t>
      </w:r>
      <w:r>
        <w:rPr>
          <w:rFonts w:hint="eastAsia"/>
          <w:b/>
          <w:bCs/>
          <w:color w:val="auto"/>
          <w:szCs w:val="24"/>
          <w:highlight w:val="none"/>
        </w:rPr>
        <w:tab/>
      </w:r>
      <w:r>
        <w:rPr>
          <w:rFonts w:hint="eastAsia"/>
          <w:b/>
          <w:bCs/>
          <w:color w:val="auto"/>
          <w:szCs w:val="24"/>
          <w:highlight w:val="none"/>
        </w:rPr>
        <w:t>智慧灯杆系统框架结构</w:t>
      </w:r>
    </w:p>
    <w:p>
      <w:pPr>
        <w:spacing w:line="240" w:lineRule="auto"/>
        <w:ind w:left="0" w:firstLine="482"/>
        <w:rPr>
          <w:rFonts w:ascii="Times New Roman" w:eastAsia="宋体" w:hAnsi="Times New Roman"/>
          <w:color w:val="auto"/>
          <w:sz w:val="24"/>
          <w:szCs w:val="24"/>
          <w:highlight w:val="none"/>
        </w:rPr>
      </w:pPr>
      <w:r>
        <w:rPr>
          <w:rFonts w:ascii="Times New Roman" w:eastAsia="宋体" w:hAnsi="Times New Roman" w:hint="eastAsia"/>
          <w:b/>
          <w:bCs/>
          <w:color w:val="auto"/>
          <w:sz w:val="24"/>
          <w:szCs w:val="24"/>
          <w:highlight w:val="none"/>
        </w:rPr>
        <w:t>应用层</w:t>
      </w:r>
      <w:r>
        <w:rPr>
          <w:rFonts w:ascii="Times New Roman" w:eastAsia="宋体" w:hAnsi="Times New Roman" w:hint="eastAsia"/>
          <w:b/>
          <w:bCs/>
          <w:color w:val="auto"/>
          <w:sz w:val="24"/>
          <w:szCs w:val="24"/>
          <w:highlight w:val="none"/>
          <w:lang w:eastAsia="zh-CN"/>
        </w:rPr>
        <w:t>：</w:t>
      </w:r>
      <w:r>
        <w:rPr>
          <w:rFonts w:ascii="Times New Roman" w:eastAsia="宋体" w:hAnsi="Times New Roman" w:hint="eastAsia"/>
          <w:color w:val="auto"/>
          <w:sz w:val="24"/>
          <w:szCs w:val="24"/>
          <w:highlight w:val="none"/>
        </w:rPr>
        <w:t>环境传感感知、GPS融合处理、大数据分析挖掘等。</w:t>
      </w:r>
    </w:p>
    <w:p>
      <w:pPr>
        <w:spacing w:line="240" w:lineRule="auto"/>
        <w:ind w:left="0" w:firstLine="482"/>
        <w:rPr>
          <w:rFonts w:ascii="Times New Roman" w:eastAsia="宋体" w:hAnsi="Times New Roman"/>
          <w:color w:val="auto"/>
          <w:sz w:val="24"/>
          <w:szCs w:val="24"/>
          <w:highlight w:val="none"/>
        </w:rPr>
      </w:pPr>
      <w:r>
        <w:rPr>
          <w:rFonts w:ascii="Times New Roman" w:eastAsia="宋体" w:hAnsi="Times New Roman" w:hint="eastAsia"/>
          <w:b/>
          <w:bCs/>
          <w:color w:val="auto"/>
          <w:sz w:val="24"/>
          <w:szCs w:val="24"/>
          <w:highlight w:val="none"/>
        </w:rPr>
        <w:t>网络层</w:t>
      </w:r>
      <w:r>
        <w:rPr>
          <w:rFonts w:ascii="Times New Roman" w:eastAsia="宋体" w:hAnsi="Times New Roman" w:hint="eastAsia"/>
          <w:b/>
          <w:bCs/>
          <w:color w:val="auto"/>
          <w:sz w:val="24"/>
          <w:szCs w:val="24"/>
          <w:highlight w:val="none"/>
          <w:lang w:eastAsia="zh-CN"/>
        </w:rPr>
        <w:t>：</w:t>
      </w:r>
      <w:r>
        <w:rPr>
          <w:rFonts w:ascii="Times New Roman" w:eastAsia="宋体" w:hAnsi="Times New Roman" w:hint="eastAsia"/>
          <w:color w:val="auto"/>
          <w:sz w:val="24"/>
          <w:szCs w:val="24"/>
          <w:highlight w:val="none"/>
        </w:rPr>
        <w:t>以太网络标准协议为基础，EPON/GPON、4G/</w:t>
      </w:r>
      <w:r>
        <w:rPr>
          <w:rFonts w:ascii="Times New Roman" w:eastAsia="宋体" w:hAnsi="Times New Roman"/>
          <w:color w:val="auto"/>
          <w:sz w:val="24"/>
          <w:szCs w:val="24"/>
          <w:highlight w:val="none"/>
        </w:rPr>
        <w:t>5G</w:t>
      </w:r>
      <w:r>
        <w:rPr>
          <w:rFonts w:ascii="Times New Roman" w:eastAsia="宋体" w:hAnsi="Times New Roman" w:hint="eastAsia"/>
          <w:color w:val="auto"/>
          <w:sz w:val="24"/>
          <w:szCs w:val="24"/>
          <w:highlight w:val="none"/>
        </w:rPr>
        <w:t xml:space="preserve">、WIFi、ZigBee等多种技术融合。 </w:t>
      </w:r>
    </w:p>
    <w:p>
      <w:pPr>
        <w:spacing w:line="240" w:lineRule="auto"/>
        <w:ind w:left="0" w:firstLine="482"/>
        <w:rPr>
          <w:rFonts w:ascii="Times New Roman" w:eastAsia="宋体" w:hAnsi="Times New Roman"/>
          <w:color w:val="auto"/>
          <w:sz w:val="24"/>
          <w:szCs w:val="24"/>
          <w:highlight w:val="none"/>
        </w:rPr>
      </w:pPr>
      <w:r>
        <w:rPr>
          <w:rFonts w:ascii="Times New Roman" w:eastAsia="宋体" w:hAnsi="Times New Roman" w:hint="eastAsia"/>
          <w:b/>
          <w:bCs/>
          <w:color w:val="auto"/>
          <w:sz w:val="24"/>
          <w:szCs w:val="24"/>
          <w:highlight w:val="none"/>
        </w:rPr>
        <w:t>终端层</w:t>
      </w:r>
      <w:r>
        <w:rPr>
          <w:rFonts w:ascii="Times New Roman" w:eastAsia="宋体" w:hAnsi="Times New Roman" w:hint="eastAsia"/>
          <w:b/>
          <w:bCs/>
          <w:color w:val="auto"/>
          <w:sz w:val="24"/>
          <w:szCs w:val="24"/>
          <w:highlight w:val="none"/>
          <w:lang w:eastAsia="zh-CN"/>
        </w:rPr>
        <w:t>：</w:t>
      </w:r>
      <w:r>
        <w:rPr>
          <w:rFonts w:ascii="Times New Roman" w:eastAsia="宋体" w:hAnsi="Times New Roman" w:hint="eastAsia"/>
          <w:color w:val="auto"/>
          <w:sz w:val="24"/>
          <w:szCs w:val="24"/>
          <w:highlight w:val="none"/>
        </w:rPr>
        <w:t>终端设备协议统一，实现底层互联互通。</w:t>
      </w:r>
    </w:p>
    <w:p>
      <w:pPr>
        <w:pStyle w:val="ListParagraph"/>
        <w:spacing w:line="240" w:lineRule="auto"/>
        <w:ind w:left="0" w:firstLine="480"/>
        <w:jc w:val="left"/>
        <w:rPr>
          <w:rFonts w:ascii="Times New Roman" w:eastAsia="宋体" w:hAnsi="Times New Roman"/>
          <w:color w:val="auto"/>
          <w:sz w:val="24"/>
          <w:szCs w:val="24"/>
          <w:highlight w:val="none"/>
        </w:rPr>
      </w:pPr>
      <w:r>
        <w:rPr>
          <w:rFonts w:ascii="Times New Roman" w:eastAsia="宋体" w:hAnsi="Times New Roman" w:hint="eastAsia"/>
          <w:color w:val="auto"/>
          <w:sz w:val="24"/>
          <w:szCs w:val="24"/>
          <w:highlight w:val="none"/>
        </w:rPr>
        <w:t>3、智慧路灯杆功能组成</w:t>
      </w:r>
    </w:p>
    <w:p>
      <w:pPr>
        <w:pStyle w:val="a14"/>
        <w:spacing w:line="240" w:lineRule="auto"/>
        <w:ind w:firstLine="420"/>
        <w:rPr>
          <w:color w:val="auto"/>
          <w:highlight w:val="none"/>
        </w:rPr>
      </w:pPr>
      <w:r>
        <w:rPr>
          <w:rFonts w:hint="eastAsia"/>
          <w:color w:val="auto"/>
          <w:highlight w:val="none"/>
        </w:rPr>
        <w:drawing>
          <wp:inline distT="0" distB="0" distL="0" distR="0">
            <wp:extent cx="5622290" cy="2811145"/>
            <wp:effectExtent l="0" t="0" r="1651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rcRect t="3562" b="1438"/>
                    <a:stretch>
                      <a:fillRect/>
                    </a:stretch>
                  </pic:blipFill>
                  <pic:spPr>
                    <a:xfrm>
                      <a:off x="0" y="0"/>
                      <a:ext cx="5766791" cy="2811145"/>
                    </a:xfrm>
                    <a:prstGeom prst="rect">
                      <a:avLst/>
                    </a:prstGeom>
                    <a:noFill/>
                    <a:ln>
                      <a:noFill/>
                    </a:ln>
                  </pic:spPr>
                </pic:pic>
              </a:graphicData>
            </a:graphic>
          </wp:inline>
        </w:drawing>
      </w:r>
    </w:p>
    <w:p>
      <w:pPr>
        <w:spacing w:line="240" w:lineRule="auto"/>
        <w:ind w:left="0" w:firstLine="422"/>
        <w:jc w:val="center"/>
        <w:rPr>
          <w:rFonts w:ascii="Times New Roman" w:eastAsia="宋体" w:hAnsi="Times New Roman"/>
          <w:b/>
          <w:bCs/>
          <w:color w:val="auto"/>
          <w:szCs w:val="21"/>
          <w:highlight w:val="none"/>
        </w:rPr>
      </w:pPr>
      <w:r>
        <w:rPr>
          <w:rFonts w:ascii="Times New Roman" w:eastAsia="宋体" w:hAnsi="Times New Roman" w:hint="eastAsia"/>
          <w:b/>
          <w:bCs/>
          <w:color w:val="auto"/>
          <w:szCs w:val="21"/>
          <w:highlight w:val="none"/>
        </w:rPr>
        <w:t>图11-10  智慧灯杆系统功能图</w:t>
      </w:r>
    </w:p>
    <w:p>
      <w:pPr>
        <w:pStyle w:val="a14"/>
        <w:spacing w:line="240" w:lineRule="auto"/>
        <w:ind w:firstLine="420"/>
        <w:rPr>
          <w:color w:val="auto"/>
          <w:highlight w:val="none"/>
        </w:rPr>
      </w:pPr>
    </w:p>
    <w:p>
      <w:pPr>
        <w:spacing w:line="240" w:lineRule="auto"/>
        <w:ind w:left="0" w:firstLine="0" w:firstLineChars="0"/>
        <w:jc w:val="center"/>
        <w:rPr>
          <w:rFonts w:ascii="Times New Roman" w:eastAsia="宋体" w:hAnsi="Times New Roman"/>
          <w:color w:val="auto"/>
          <w:highlight w:val="none"/>
        </w:rPr>
      </w:pPr>
      <w:r>
        <w:rPr>
          <w:rFonts w:ascii="Times New Roman" w:eastAsia="宋体" w:hAnsi="Times New Roman"/>
          <w:color w:val="auto"/>
          <w:highlight w:val="none"/>
        </w:rPr>
        <w:drawing>
          <wp:inline distT="0" distB="0" distL="114300" distR="114300">
            <wp:extent cx="1562100" cy="3574415"/>
            <wp:effectExtent l="0" t="0" r="0" b="6985"/>
            <wp:docPr id="22" name="Picture 15" descr="C:\Users\xiaoqian\Desktop\2016-7-14\三亚智慧灯杆效果图\最终更新灯头后的效果图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5" descr="C:\Users\xiaoqian\Desktop\2016-7-14\三亚智慧灯杆效果图\最终更新灯头后的效果图_1.png"/>
                    <pic:cNvPicPr>
                      <a:picLocks noChangeAspect="1" noChangeArrowheads="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rcRect l="18752" r="23005"/>
                    <a:stretch>
                      <a:fillRect/>
                    </a:stretch>
                  </pic:blipFill>
                  <pic:spPr>
                    <a:xfrm>
                      <a:off x="0" y="0"/>
                      <a:ext cx="1562100" cy="3574415"/>
                    </a:xfrm>
                    <a:prstGeom prst="rect">
                      <a:avLst/>
                    </a:prstGeom>
                    <a:noFill/>
                    <a:ln>
                      <a:noFill/>
                    </a:ln>
                  </pic:spPr>
                </pic:pic>
              </a:graphicData>
            </a:graphic>
          </wp:inline>
        </w:drawing>
      </w:r>
      <w:r>
        <w:rPr>
          <w:rFonts w:ascii="Times New Roman" w:eastAsia="宋体" w:hAnsi="Times New Roman"/>
          <w:color w:val="auto"/>
          <w:highlight w:val="none"/>
        </w:rPr>
        <w:drawing>
          <wp:inline distT="0" distB="0" distL="114300" distR="114300">
            <wp:extent cx="1555115" cy="4348480"/>
            <wp:effectExtent l="0" t="0" r="6985" b="13970"/>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
                    <pic:cNvPicPr>
                      <a:picLocks noChangeAspect="1" noChangeArrowheads="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555115" cy="4348480"/>
                    </a:xfrm>
                    <a:prstGeom prst="rect">
                      <a:avLst/>
                    </a:prstGeom>
                    <a:noFill/>
                    <a:ln>
                      <a:noFill/>
                    </a:ln>
                  </pic:spPr>
                </pic:pic>
              </a:graphicData>
            </a:graphic>
          </wp:inline>
        </w:drawing>
      </w:r>
      <w:r>
        <w:rPr>
          <w:rFonts w:ascii="Times New Roman" w:eastAsia="宋体" w:hAnsi="Times New Roman"/>
          <w:color w:val="auto"/>
          <w:highlight w:val="none"/>
        </w:rPr>
        <w:drawing>
          <wp:inline distT="0" distB="0" distL="114300" distR="114300">
            <wp:extent cx="1569085" cy="5784215"/>
            <wp:effectExtent l="0" t="0" r="12065" b="6985"/>
            <wp:docPr id="26" name="Picture 3" descr="C:\Users\xiaoqian\Desktop\搜狗截图20150813192638_看图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descr="C:\Users\xiaoqian\Desktop\搜狗截图20150813192638_看图王.png"/>
                    <pic:cNvPicPr>
                      <a:picLocks noChangeAspect="1" noChangeArrowheads="1"/>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569085" cy="5784215"/>
                    </a:xfrm>
                    <a:prstGeom prst="rect">
                      <a:avLst/>
                    </a:prstGeom>
                    <a:noFill/>
                    <a:ln>
                      <a:noFill/>
                    </a:ln>
                  </pic:spPr>
                </pic:pic>
              </a:graphicData>
            </a:graphic>
          </wp:inline>
        </w:drawing>
      </w:r>
    </w:p>
    <w:p>
      <w:pPr>
        <w:spacing w:line="240" w:lineRule="auto"/>
        <w:ind w:left="0" w:firstLine="0" w:firstLineChars="0"/>
        <w:rPr>
          <w:rFonts w:ascii="Times New Roman" w:eastAsia="宋体" w:hAnsi="Times New Roman"/>
          <w:color w:val="auto"/>
          <w:highlight w:val="none"/>
        </w:rPr>
      </w:pPr>
    </w:p>
    <w:p>
      <w:pPr>
        <w:spacing w:line="240" w:lineRule="auto"/>
        <w:ind w:left="0" w:firstLine="0" w:firstLineChars="0"/>
        <w:jc w:val="center"/>
        <w:rPr>
          <w:rFonts w:ascii="Times New Roman" w:eastAsia="宋体" w:hAnsi="Times New Roman"/>
          <w:b/>
          <w:bCs/>
          <w:color w:val="auto"/>
          <w:highlight w:val="none"/>
        </w:rPr>
      </w:pPr>
      <w:r>
        <w:rPr>
          <w:rFonts w:ascii="Times New Roman" w:eastAsia="宋体" w:hAnsi="Times New Roman" w:hint="eastAsia"/>
          <w:b/>
          <w:bCs/>
          <w:color w:val="auto"/>
          <w:highlight w:val="none"/>
        </w:rPr>
        <w:t>图11-11  多功能灯杆（4-10米）</w:t>
      </w:r>
    </w:p>
    <w:p>
      <w:pPr>
        <w:spacing w:line="240" w:lineRule="auto"/>
        <w:ind w:left="0" w:firstLine="0" w:firstLineChars="0"/>
        <w:rPr>
          <w:rFonts w:ascii="Times New Roman" w:eastAsia="宋体" w:hAnsi="Times New Roman"/>
          <w:color w:val="auto"/>
          <w:highlight w:val="none"/>
        </w:rPr>
      </w:pPr>
    </w:p>
    <w:p>
      <w:pPr>
        <w:spacing w:line="240" w:lineRule="auto"/>
        <w:ind w:left="0" w:firstLine="0" w:firstLineChars="0"/>
        <w:jc w:val="center"/>
        <w:rPr>
          <w:rFonts w:ascii="Times New Roman" w:eastAsia="宋体" w:hAnsi="Times New Roman"/>
          <w:color w:val="auto"/>
          <w:highlight w:val="none"/>
        </w:rPr>
      </w:pPr>
      <w:r>
        <w:rPr>
          <w:rFonts w:ascii="Times New Roman" w:eastAsia="宋体" w:hAnsi="Times New Roman"/>
          <w:color w:val="auto"/>
          <w:highlight w:val="none"/>
        </w:rPr>
        <w:drawing>
          <wp:inline distT="0" distB="0" distL="114300" distR="114300">
            <wp:extent cx="2155825" cy="6969125"/>
            <wp:effectExtent l="0" t="0" r="0"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noChangeArrowheads="1"/>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rcRect l="29722" r="28843"/>
                    <a:stretch>
                      <a:fillRect/>
                    </a:stretch>
                  </pic:blipFill>
                  <pic:spPr>
                    <a:xfrm>
                      <a:off x="0" y="0"/>
                      <a:ext cx="2155825" cy="6969125"/>
                    </a:xfrm>
                    <a:prstGeom prst="rect">
                      <a:avLst/>
                    </a:prstGeom>
                    <a:noFill/>
                    <a:ln>
                      <a:noFill/>
                    </a:ln>
                  </pic:spPr>
                </pic:pic>
              </a:graphicData>
            </a:graphic>
          </wp:inline>
        </w:drawing>
      </w:r>
      <w:r>
        <w:rPr>
          <w:rFonts w:ascii="Times New Roman" w:eastAsia="宋体" w:hAnsi="Times New Roman"/>
          <w:color w:val="auto"/>
          <w:highlight w:val="none"/>
        </w:rPr>
        <w:drawing>
          <wp:inline distT="0" distB="0" distL="114300" distR="114300">
            <wp:extent cx="1937385" cy="6682740"/>
            <wp:effectExtent l="0" t="0" r="5715" b="381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noChangeArrowheads="1"/>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rcRect l="39455" r="39044"/>
                    <a:stretch>
                      <a:fillRect/>
                    </a:stretch>
                  </pic:blipFill>
                  <pic:spPr>
                    <a:xfrm>
                      <a:off x="0" y="0"/>
                      <a:ext cx="1937385" cy="6682740"/>
                    </a:xfrm>
                    <a:prstGeom prst="rect">
                      <a:avLst/>
                    </a:prstGeom>
                    <a:noFill/>
                    <a:ln>
                      <a:noFill/>
                    </a:ln>
                  </pic:spPr>
                </pic:pic>
              </a:graphicData>
            </a:graphic>
          </wp:inline>
        </w:drawing>
      </w:r>
    </w:p>
    <w:p>
      <w:pPr>
        <w:spacing w:line="240" w:lineRule="auto"/>
        <w:ind w:left="0" w:firstLine="0" w:firstLineChars="0"/>
        <w:jc w:val="center"/>
        <w:rPr>
          <w:rFonts w:ascii="Times New Roman" w:eastAsia="宋体" w:hAnsi="Times New Roman"/>
          <w:b/>
          <w:bCs/>
          <w:color w:val="auto"/>
          <w:highlight w:val="none"/>
        </w:rPr>
      </w:pPr>
      <w:r>
        <w:rPr>
          <w:rFonts w:ascii="Times New Roman" w:eastAsia="宋体" w:hAnsi="Times New Roman" w:hint="eastAsia"/>
          <w:b/>
          <w:bCs/>
          <w:color w:val="auto"/>
          <w:highlight w:val="none"/>
        </w:rPr>
        <w:t>图11-12  多功能灯杆（12-15米）</w:t>
      </w:r>
    </w:p>
    <w:p>
      <w:pPr>
        <w:spacing w:line="240" w:lineRule="auto"/>
        <w:ind w:left="0" w:firstLine="0" w:firstLineChars="0"/>
        <w:rPr>
          <w:rFonts w:ascii="Times New Roman" w:eastAsia="宋体" w:hAnsi="Times New Roman"/>
          <w:color w:val="auto"/>
          <w:highlight w:val="none"/>
        </w:rPr>
      </w:pPr>
    </w:p>
    <w:p>
      <w:pPr>
        <w:spacing w:line="240" w:lineRule="auto"/>
        <w:ind w:left="0" w:firstLine="0" w:firstLineChars="0"/>
        <w:jc w:val="center"/>
        <w:rPr>
          <w:rFonts w:ascii="Times New Roman" w:eastAsia="宋体" w:hAnsi="Times New Roman"/>
          <w:color w:val="auto"/>
          <w:highlight w:val="none"/>
        </w:rPr>
      </w:pPr>
      <w:r>
        <w:rPr>
          <w:rFonts w:ascii="Times New Roman" w:eastAsia="宋体" w:hAnsi="Times New Roman"/>
          <w:color w:val="auto"/>
          <w:highlight w:val="none"/>
        </w:rPr>
        <w:drawing>
          <wp:inline distT="0" distB="0" distL="0" distR="0">
            <wp:extent cx="5996305" cy="5723890"/>
            <wp:effectExtent l="0" t="0" r="4445" b="0"/>
            <wp:docPr id="30722" name="Picture 2" descr="I:\1规范材料\智慧灯杆规范材料\智慧灯杆功能集成图\智慧灯杆功能集成图v1.1（自制，适用白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2" descr="I:\1规范材料\智慧灯杆规范材料\智慧灯杆功能集成图\智慧灯杆功能集成图v1.1（自制，适用白底）.png"/>
                    <pic:cNvPicPr>
                      <a:picLocks noChangeAspect="1" noChangeArrowheads="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03394" cy="5730474"/>
                    </a:xfrm>
                    <a:prstGeom prst="rect">
                      <a:avLst/>
                    </a:prstGeom>
                    <a:noFill/>
                  </pic:spPr>
                </pic:pic>
              </a:graphicData>
            </a:graphic>
          </wp:inline>
        </w:drawing>
      </w:r>
    </w:p>
    <w:p>
      <w:pPr>
        <w:spacing w:line="240" w:lineRule="auto"/>
        <w:ind w:left="0" w:firstLine="0" w:firstLineChars="0"/>
        <w:jc w:val="center"/>
        <w:rPr>
          <w:rFonts w:ascii="Times New Roman" w:eastAsia="宋体" w:hAnsi="Times New Roman"/>
          <w:b/>
          <w:bCs/>
          <w:color w:val="auto"/>
          <w:highlight w:val="none"/>
        </w:rPr>
      </w:pPr>
      <w:r>
        <w:rPr>
          <w:rFonts w:ascii="Times New Roman" w:eastAsia="宋体" w:hAnsi="Times New Roman" w:hint="eastAsia"/>
          <w:b/>
          <w:bCs/>
          <w:color w:val="auto"/>
          <w:highlight w:val="none"/>
        </w:rPr>
        <w:t>图11-13  智慧灯杆</w:t>
      </w:r>
    </w:p>
    <w:p>
      <w:pPr>
        <w:spacing w:line="240" w:lineRule="auto"/>
        <w:ind w:left="0" w:firstLine="420"/>
        <w:rPr>
          <w:rFonts w:ascii="Times New Roman" w:eastAsia="宋体" w:hAnsi="Times New Roman"/>
          <w:color w:val="auto"/>
          <w:highlight w:val="none"/>
        </w:rPr>
      </w:pPr>
    </w:p>
    <w:p>
      <w:pPr>
        <w:pStyle w:val="Heading3"/>
        <w:spacing w:line="240" w:lineRule="auto"/>
        <w:ind w:left="0" w:firstLine="482"/>
        <w:rPr>
          <w:rFonts w:ascii="Times New Roman" w:eastAsia="宋体" w:hAnsi="Times New Roman" w:cstheme="majorEastAsia"/>
          <w:color w:val="auto"/>
          <w:sz w:val="24"/>
          <w:szCs w:val="24"/>
          <w:highlight w:val="none"/>
        </w:rPr>
      </w:pPr>
      <w:bookmarkStart w:id="63" w:name="_Toc11820"/>
      <w:r>
        <w:rPr>
          <w:rFonts w:ascii="Times New Roman" w:eastAsia="宋体" w:hAnsi="Times New Roman" w:cstheme="majorEastAsia" w:hint="eastAsia"/>
          <w:color w:val="auto"/>
          <w:sz w:val="24"/>
          <w:szCs w:val="24"/>
          <w:highlight w:val="none"/>
        </w:rPr>
        <w:t>三、机房及配套建设原则</w:t>
      </w:r>
      <w:bookmarkEnd w:id="60"/>
      <w:bookmarkEnd w:id="63"/>
    </w:p>
    <w:p>
      <w:pPr>
        <w:widowControl/>
        <w:spacing w:line="240" w:lineRule="auto"/>
        <w:ind w:left="0" w:firstLine="480"/>
        <w:rPr>
          <w:rFonts w:ascii="Times New Roman" w:eastAsia="宋体" w:hAnsi="Times New Roman"/>
          <w:color w:val="auto"/>
          <w:sz w:val="24"/>
          <w:highlight w:val="none"/>
        </w:rPr>
      </w:pPr>
      <w:bookmarkStart w:id="64" w:name="_Toc6575267"/>
      <w:r>
        <w:rPr>
          <w:rFonts w:ascii="Times New Roman" w:eastAsia="宋体" w:hAnsi="Times New Roman" w:hint="eastAsia"/>
          <w:color w:val="auto"/>
          <w:sz w:val="24"/>
          <w:highlight w:val="none"/>
        </w:rPr>
        <w:t>1、机房选型</w:t>
      </w:r>
      <w:r>
        <w:rPr>
          <w:rFonts w:ascii="Times New Roman" w:eastAsia="宋体" w:hAnsi="Times New Roman"/>
          <w:color w:val="auto"/>
          <w:sz w:val="24"/>
          <w:highlight w:val="none"/>
        </w:rPr>
        <w:t>原则</w:t>
      </w:r>
      <w:bookmarkEnd w:id="64"/>
    </w:p>
    <w:p>
      <w:pPr>
        <w:pStyle w:val="Body"/>
        <w:spacing w:line="240" w:lineRule="auto"/>
        <w:ind w:right="0" w:firstLine="480"/>
        <w:rPr>
          <w:color w:val="auto"/>
          <w:highlight w:val="none"/>
        </w:rPr>
      </w:pPr>
      <w:r>
        <w:rPr>
          <w:rFonts w:hint="eastAsia"/>
          <w:color w:val="auto"/>
          <w:highlight w:val="none"/>
        </w:rPr>
        <w:t>按建设形式，主要有以下几种机房型：砖混机房、彩钢板机房、室外一体化机柜、铝合金机房、美化机房等。</w:t>
      </w:r>
    </w:p>
    <w:p>
      <w:pPr>
        <w:pStyle w:val="Body"/>
        <w:spacing w:line="240" w:lineRule="auto"/>
        <w:ind w:right="0" w:firstLine="480"/>
        <w:rPr>
          <w:color w:val="auto"/>
          <w:highlight w:val="none"/>
        </w:rPr>
      </w:pPr>
      <w:r>
        <w:rPr>
          <w:rFonts w:hint="eastAsia"/>
          <w:color w:val="auto"/>
          <w:highlight w:val="none"/>
        </w:rPr>
        <w:t>机房选型应综合考虑客户需求、建设场景、机房类型特点以及后期扩容等因素，重点聚焦当期的建设成本和建设周期，以及长期的运维成本，做到实用、经济。</w:t>
      </w:r>
    </w:p>
    <w:p>
      <w:pPr>
        <w:pStyle w:val="Body"/>
        <w:spacing w:after="0" w:line="240" w:lineRule="auto"/>
        <w:ind w:right="0" w:firstLine="422"/>
        <w:jc w:val="center"/>
        <w:rPr>
          <w:b/>
          <w:bCs/>
          <w:color w:val="auto"/>
          <w:sz w:val="21"/>
          <w:szCs w:val="21"/>
          <w:highlight w:val="none"/>
        </w:rPr>
      </w:pPr>
      <w:r>
        <w:rPr>
          <w:rFonts w:hint="eastAsia"/>
          <w:b/>
          <w:bCs/>
          <w:color w:val="auto"/>
          <w:sz w:val="21"/>
          <w:szCs w:val="21"/>
          <w:highlight w:val="none"/>
        </w:rPr>
        <w:t>表11-1  机房选型表</w:t>
      </w:r>
    </w:p>
    <w:tbl>
      <w:tblPr>
        <w:tblStyle w:val="TableNormal"/>
        <w:tblW w:w="463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690"/>
        <w:gridCol w:w="3431"/>
        <w:gridCol w:w="2653"/>
        <w:gridCol w:w="2620"/>
      </w:tblGrid>
      <w:tr>
        <w:tblPrEx>
          <w:tblW w:w="463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37"/>
        </w:trPr>
        <w:tc>
          <w:tcPr>
            <w:tcW w:w="367" w:type="pct"/>
            <w:shd w:val="clear" w:color="auto" w:fill="auto"/>
            <w:vAlign w:val="center"/>
          </w:tcPr>
          <w:p>
            <w:pPr>
              <w:widowControl/>
              <w:spacing w:line="240" w:lineRule="auto"/>
              <w:ind w:left="0" w:firstLine="0" w:firstLineChars="0"/>
              <w:jc w:val="center"/>
              <w:rPr>
                <w:rFonts w:ascii="Times New Roman" w:eastAsia="宋体" w:hAnsi="Times New Roman"/>
                <w:b/>
                <w:bCs/>
                <w:color w:val="auto"/>
                <w:szCs w:val="21"/>
                <w:highlight w:val="none"/>
              </w:rPr>
            </w:pPr>
            <w:r>
              <w:rPr>
                <w:rFonts w:ascii="Times New Roman" w:eastAsia="宋体" w:hAnsi="Times New Roman"/>
                <w:b/>
                <w:bCs/>
                <w:color w:val="auto"/>
                <w:szCs w:val="21"/>
                <w:highlight w:val="none"/>
              </w:rPr>
              <w:t>序号</w:t>
            </w:r>
          </w:p>
        </w:tc>
        <w:tc>
          <w:tcPr>
            <w:tcW w:w="1826" w:type="pct"/>
            <w:shd w:val="clear" w:color="auto" w:fill="auto"/>
            <w:vAlign w:val="center"/>
          </w:tcPr>
          <w:p>
            <w:pPr>
              <w:widowControl/>
              <w:spacing w:line="240" w:lineRule="auto"/>
              <w:ind w:left="0" w:firstLine="0" w:firstLineChars="0"/>
              <w:jc w:val="center"/>
              <w:rPr>
                <w:rFonts w:ascii="Times New Roman" w:eastAsia="宋体" w:hAnsi="Times New Roman"/>
                <w:b/>
                <w:bCs/>
                <w:color w:val="auto"/>
                <w:szCs w:val="21"/>
                <w:highlight w:val="none"/>
              </w:rPr>
            </w:pPr>
            <w:r>
              <w:rPr>
                <w:rFonts w:ascii="Times New Roman" w:eastAsia="宋体" w:hAnsi="Times New Roman"/>
                <w:b/>
                <w:bCs/>
                <w:color w:val="auto"/>
                <w:szCs w:val="21"/>
                <w:highlight w:val="none"/>
              </w:rPr>
              <w:t>典型场景</w:t>
            </w:r>
          </w:p>
        </w:tc>
        <w:tc>
          <w:tcPr>
            <w:tcW w:w="1412" w:type="pct"/>
            <w:shd w:val="clear" w:color="auto" w:fill="auto"/>
            <w:vAlign w:val="center"/>
          </w:tcPr>
          <w:p>
            <w:pPr>
              <w:widowControl/>
              <w:spacing w:line="240" w:lineRule="auto"/>
              <w:ind w:left="0" w:firstLine="0" w:firstLineChars="0"/>
              <w:jc w:val="center"/>
              <w:rPr>
                <w:rFonts w:ascii="Times New Roman" w:eastAsia="宋体" w:hAnsi="Times New Roman"/>
                <w:b/>
                <w:bCs/>
                <w:color w:val="auto"/>
                <w:szCs w:val="21"/>
                <w:highlight w:val="none"/>
              </w:rPr>
            </w:pPr>
            <w:r>
              <w:rPr>
                <w:rFonts w:ascii="Times New Roman" w:eastAsia="宋体" w:hAnsi="Times New Roman"/>
                <w:b/>
                <w:bCs/>
                <w:color w:val="auto"/>
                <w:szCs w:val="21"/>
                <w:highlight w:val="none"/>
              </w:rPr>
              <w:t>第一方案</w:t>
            </w:r>
          </w:p>
        </w:tc>
        <w:tc>
          <w:tcPr>
            <w:tcW w:w="1395" w:type="pct"/>
            <w:shd w:val="clear" w:color="auto" w:fill="auto"/>
            <w:vAlign w:val="center"/>
          </w:tcPr>
          <w:p>
            <w:pPr>
              <w:widowControl/>
              <w:spacing w:line="240" w:lineRule="auto"/>
              <w:ind w:left="0" w:firstLine="0" w:firstLineChars="0"/>
              <w:jc w:val="center"/>
              <w:rPr>
                <w:rFonts w:ascii="Times New Roman" w:eastAsia="宋体" w:hAnsi="Times New Roman"/>
                <w:b/>
                <w:bCs/>
                <w:color w:val="auto"/>
                <w:szCs w:val="21"/>
                <w:highlight w:val="none"/>
              </w:rPr>
            </w:pPr>
            <w:r>
              <w:rPr>
                <w:rFonts w:ascii="Times New Roman" w:eastAsia="宋体" w:hAnsi="Times New Roman"/>
                <w:b/>
                <w:bCs/>
                <w:color w:val="auto"/>
                <w:szCs w:val="21"/>
                <w:highlight w:val="none"/>
              </w:rPr>
              <w:t>第二方案</w:t>
            </w:r>
          </w:p>
        </w:tc>
      </w:tr>
      <w:tr>
        <w:tblPrEx>
          <w:tblW w:w="4631" w:type="pct"/>
          <w:tblInd w:w="250" w:type="dxa"/>
          <w:tblCellMar>
            <w:top w:w="0" w:type="dxa"/>
            <w:left w:w="108" w:type="dxa"/>
            <w:bottom w:w="0" w:type="dxa"/>
            <w:right w:w="108" w:type="dxa"/>
          </w:tblCellMar>
        </w:tblPrEx>
        <w:trPr>
          <w:trHeight w:val="400"/>
        </w:trPr>
        <w:tc>
          <w:tcPr>
            <w:tcW w:w="367" w:type="pct"/>
            <w:shd w:val="clear" w:color="auto" w:fill="auto"/>
            <w:vAlign w:val="center"/>
          </w:tcPr>
          <w:p>
            <w:pPr>
              <w:widowControl/>
              <w:spacing w:line="24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color w:val="auto"/>
                <w:szCs w:val="21"/>
                <w:highlight w:val="none"/>
              </w:rPr>
              <w:t>1</w:t>
            </w:r>
          </w:p>
        </w:tc>
        <w:tc>
          <w:tcPr>
            <w:tcW w:w="1826" w:type="pct"/>
            <w:shd w:val="clear" w:color="auto" w:fill="auto"/>
            <w:vAlign w:val="center"/>
          </w:tcPr>
          <w:p>
            <w:pPr>
              <w:widowControl/>
              <w:spacing w:line="24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color w:val="auto"/>
                <w:szCs w:val="21"/>
                <w:highlight w:val="none"/>
              </w:rPr>
              <w:t>征地容易的区域优先考虑防盗要求</w:t>
            </w:r>
          </w:p>
        </w:tc>
        <w:tc>
          <w:tcPr>
            <w:tcW w:w="1412" w:type="pct"/>
            <w:shd w:val="clear" w:color="auto" w:fill="auto"/>
            <w:vAlign w:val="center"/>
          </w:tcPr>
          <w:p>
            <w:pPr>
              <w:widowControl/>
              <w:spacing w:line="24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color w:val="auto"/>
                <w:szCs w:val="21"/>
                <w:highlight w:val="none"/>
              </w:rPr>
              <w:t>砖混机房</w:t>
            </w:r>
          </w:p>
        </w:tc>
        <w:tc>
          <w:tcPr>
            <w:tcW w:w="1395" w:type="pct"/>
            <w:shd w:val="clear" w:color="auto" w:fill="auto"/>
            <w:vAlign w:val="center"/>
          </w:tcPr>
          <w:p>
            <w:pPr>
              <w:widowControl/>
              <w:spacing w:line="24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color w:val="auto"/>
                <w:szCs w:val="21"/>
                <w:highlight w:val="none"/>
              </w:rPr>
              <w:t>地面室外站一体化机柜</w:t>
            </w:r>
          </w:p>
        </w:tc>
      </w:tr>
      <w:tr>
        <w:tblPrEx>
          <w:tblW w:w="4631" w:type="pct"/>
          <w:tblInd w:w="250" w:type="dxa"/>
          <w:tblCellMar>
            <w:top w:w="0" w:type="dxa"/>
            <w:left w:w="108" w:type="dxa"/>
            <w:bottom w:w="0" w:type="dxa"/>
            <w:right w:w="108" w:type="dxa"/>
          </w:tblCellMar>
        </w:tblPrEx>
        <w:trPr>
          <w:trHeight w:val="578"/>
        </w:trPr>
        <w:tc>
          <w:tcPr>
            <w:tcW w:w="367" w:type="pct"/>
            <w:shd w:val="clear" w:color="auto" w:fill="auto"/>
            <w:vAlign w:val="center"/>
          </w:tcPr>
          <w:p>
            <w:pPr>
              <w:widowControl/>
              <w:spacing w:line="24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color w:val="auto"/>
                <w:szCs w:val="21"/>
                <w:highlight w:val="none"/>
              </w:rPr>
              <w:t>2</w:t>
            </w:r>
          </w:p>
        </w:tc>
        <w:tc>
          <w:tcPr>
            <w:tcW w:w="1826" w:type="pct"/>
            <w:shd w:val="clear" w:color="auto" w:fill="auto"/>
            <w:vAlign w:val="center"/>
          </w:tcPr>
          <w:p>
            <w:pPr>
              <w:widowControl/>
              <w:spacing w:line="24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color w:val="auto"/>
                <w:szCs w:val="21"/>
                <w:highlight w:val="none"/>
              </w:rPr>
              <w:t>征地容易的区域优先考虑控制投资</w:t>
            </w:r>
            <w:r>
              <w:rPr>
                <w:rFonts w:ascii="Times New Roman" w:eastAsia="宋体" w:hAnsi="Times New Roman" w:hint="eastAsia"/>
                <w:color w:val="auto"/>
                <w:szCs w:val="21"/>
                <w:highlight w:val="none"/>
              </w:rPr>
              <w:t>或快速</w:t>
            </w:r>
            <w:r>
              <w:rPr>
                <w:rFonts w:ascii="Times New Roman" w:eastAsia="宋体" w:hAnsi="Times New Roman"/>
                <w:color w:val="auto"/>
                <w:szCs w:val="21"/>
                <w:highlight w:val="none"/>
              </w:rPr>
              <w:t>建站</w:t>
            </w:r>
          </w:p>
        </w:tc>
        <w:tc>
          <w:tcPr>
            <w:tcW w:w="1412" w:type="pct"/>
            <w:shd w:val="clear" w:color="auto" w:fill="auto"/>
            <w:vAlign w:val="center"/>
          </w:tcPr>
          <w:p>
            <w:pPr>
              <w:widowControl/>
              <w:spacing w:line="24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color w:val="auto"/>
                <w:szCs w:val="21"/>
                <w:highlight w:val="none"/>
              </w:rPr>
              <w:t>彩钢板机房</w:t>
            </w:r>
          </w:p>
        </w:tc>
        <w:tc>
          <w:tcPr>
            <w:tcW w:w="1395" w:type="pct"/>
            <w:shd w:val="clear" w:color="auto" w:fill="auto"/>
            <w:vAlign w:val="center"/>
          </w:tcPr>
          <w:p>
            <w:pPr>
              <w:widowControl/>
              <w:spacing w:line="24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color w:val="auto"/>
                <w:szCs w:val="21"/>
                <w:highlight w:val="none"/>
              </w:rPr>
              <w:t>地面室外站一体化机柜</w:t>
            </w:r>
          </w:p>
        </w:tc>
      </w:tr>
      <w:tr>
        <w:tblPrEx>
          <w:tblW w:w="4631" w:type="pct"/>
          <w:tblInd w:w="250" w:type="dxa"/>
          <w:tblCellMar>
            <w:top w:w="0" w:type="dxa"/>
            <w:left w:w="108" w:type="dxa"/>
            <w:bottom w:w="0" w:type="dxa"/>
            <w:right w:w="108" w:type="dxa"/>
          </w:tblCellMar>
        </w:tblPrEx>
        <w:trPr>
          <w:trHeight w:val="578"/>
        </w:trPr>
        <w:tc>
          <w:tcPr>
            <w:tcW w:w="367" w:type="pct"/>
            <w:shd w:val="clear" w:color="auto" w:fill="auto"/>
            <w:vAlign w:val="center"/>
          </w:tcPr>
          <w:p>
            <w:pPr>
              <w:widowControl/>
              <w:spacing w:line="24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color w:val="auto"/>
                <w:szCs w:val="21"/>
                <w:highlight w:val="none"/>
              </w:rPr>
              <w:t>3</w:t>
            </w:r>
          </w:p>
        </w:tc>
        <w:tc>
          <w:tcPr>
            <w:tcW w:w="1826" w:type="pct"/>
            <w:shd w:val="clear" w:color="auto" w:fill="auto"/>
            <w:vAlign w:val="center"/>
          </w:tcPr>
          <w:p>
            <w:pPr>
              <w:widowControl/>
              <w:spacing w:line="24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color w:val="auto"/>
                <w:szCs w:val="21"/>
                <w:highlight w:val="none"/>
              </w:rPr>
              <w:t>征地困难的区域</w:t>
            </w:r>
          </w:p>
        </w:tc>
        <w:tc>
          <w:tcPr>
            <w:tcW w:w="1412" w:type="pct"/>
            <w:shd w:val="clear" w:color="auto" w:fill="auto"/>
            <w:vAlign w:val="center"/>
          </w:tcPr>
          <w:p>
            <w:pPr>
              <w:widowControl/>
              <w:spacing w:line="24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color w:val="auto"/>
                <w:szCs w:val="21"/>
                <w:highlight w:val="none"/>
              </w:rPr>
              <w:t>地面室外站一体化机柜</w:t>
            </w:r>
          </w:p>
        </w:tc>
        <w:tc>
          <w:tcPr>
            <w:tcW w:w="1395" w:type="pct"/>
            <w:shd w:val="clear" w:color="auto" w:fill="auto"/>
            <w:vAlign w:val="center"/>
          </w:tcPr>
          <w:p>
            <w:pPr>
              <w:widowControl/>
              <w:spacing w:line="24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color w:val="auto"/>
                <w:szCs w:val="21"/>
                <w:highlight w:val="none"/>
              </w:rPr>
              <w:t>地面室外站一体化机柜+美化外罩</w:t>
            </w:r>
          </w:p>
        </w:tc>
      </w:tr>
      <w:tr>
        <w:tblPrEx>
          <w:tblW w:w="4631" w:type="pct"/>
          <w:tblInd w:w="250" w:type="dxa"/>
          <w:tblCellMar>
            <w:top w:w="0" w:type="dxa"/>
            <w:left w:w="108" w:type="dxa"/>
            <w:bottom w:w="0" w:type="dxa"/>
            <w:right w:w="108" w:type="dxa"/>
          </w:tblCellMar>
        </w:tblPrEx>
        <w:trPr>
          <w:trHeight w:val="669"/>
        </w:trPr>
        <w:tc>
          <w:tcPr>
            <w:tcW w:w="367" w:type="pct"/>
            <w:shd w:val="clear" w:color="auto" w:fill="auto"/>
            <w:vAlign w:val="center"/>
          </w:tcPr>
          <w:p>
            <w:pPr>
              <w:widowControl/>
              <w:spacing w:line="24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color w:val="auto"/>
                <w:szCs w:val="21"/>
                <w:highlight w:val="none"/>
              </w:rPr>
              <w:t>4</w:t>
            </w:r>
          </w:p>
        </w:tc>
        <w:tc>
          <w:tcPr>
            <w:tcW w:w="1826" w:type="pct"/>
            <w:shd w:val="clear" w:color="auto" w:fill="auto"/>
            <w:vAlign w:val="center"/>
          </w:tcPr>
          <w:p>
            <w:pPr>
              <w:widowControl/>
              <w:spacing w:line="24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color w:val="auto"/>
                <w:szCs w:val="21"/>
                <w:highlight w:val="none"/>
              </w:rPr>
              <w:t>广场、公园、景区</w:t>
            </w:r>
            <w:r>
              <w:rPr>
                <w:rFonts w:ascii="Times New Roman" w:eastAsia="宋体" w:hAnsi="Times New Roman" w:hint="eastAsia"/>
                <w:color w:val="auto"/>
                <w:szCs w:val="21"/>
                <w:highlight w:val="none"/>
              </w:rPr>
              <w:t>等</w:t>
            </w:r>
            <w:r>
              <w:rPr>
                <w:rFonts w:ascii="Times New Roman" w:eastAsia="宋体" w:hAnsi="Times New Roman"/>
                <w:color w:val="auto"/>
                <w:szCs w:val="21"/>
                <w:highlight w:val="none"/>
              </w:rPr>
              <w:t>敏感区域</w:t>
            </w:r>
          </w:p>
        </w:tc>
        <w:tc>
          <w:tcPr>
            <w:tcW w:w="1412" w:type="pct"/>
            <w:shd w:val="clear" w:color="auto" w:fill="auto"/>
            <w:vAlign w:val="center"/>
          </w:tcPr>
          <w:p>
            <w:pPr>
              <w:widowControl/>
              <w:spacing w:line="24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color w:val="auto"/>
                <w:szCs w:val="21"/>
                <w:highlight w:val="none"/>
              </w:rPr>
              <w:t>美化机房</w:t>
            </w:r>
          </w:p>
        </w:tc>
        <w:tc>
          <w:tcPr>
            <w:tcW w:w="1395" w:type="pct"/>
            <w:shd w:val="clear" w:color="auto" w:fill="auto"/>
            <w:vAlign w:val="center"/>
          </w:tcPr>
          <w:p>
            <w:pPr>
              <w:widowControl/>
              <w:spacing w:line="24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color w:val="auto"/>
                <w:szCs w:val="21"/>
                <w:highlight w:val="none"/>
              </w:rPr>
              <w:t>地面室外站一体化机柜+美化外罩</w:t>
            </w:r>
          </w:p>
        </w:tc>
      </w:tr>
    </w:tbl>
    <w:p>
      <w:pPr>
        <w:widowControl/>
        <w:spacing w:line="240" w:lineRule="auto"/>
        <w:ind w:left="0" w:firstLine="480"/>
        <w:rPr>
          <w:rFonts w:ascii="Times New Roman" w:eastAsia="宋体" w:hAnsi="Times New Roman"/>
          <w:color w:val="auto"/>
          <w:sz w:val="24"/>
          <w:highlight w:val="none"/>
        </w:rPr>
      </w:pPr>
      <w:bookmarkStart w:id="65" w:name="_Toc6575268"/>
      <w:r>
        <w:rPr>
          <w:rFonts w:ascii="Times New Roman" w:eastAsia="宋体" w:hAnsi="Times New Roman" w:hint="eastAsia"/>
          <w:color w:val="auto"/>
          <w:sz w:val="24"/>
          <w:highlight w:val="none"/>
        </w:rPr>
        <w:t>2、后备</w:t>
      </w:r>
      <w:r>
        <w:rPr>
          <w:rFonts w:ascii="Times New Roman" w:eastAsia="宋体" w:hAnsi="Times New Roman"/>
          <w:color w:val="auto"/>
          <w:sz w:val="24"/>
          <w:highlight w:val="none"/>
        </w:rPr>
        <w:t>保障原则</w:t>
      </w:r>
      <w:bookmarkEnd w:id="65"/>
    </w:p>
    <w:p>
      <w:pPr>
        <w:pStyle w:val="Body"/>
        <w:spacing w:line="240" w:lineRule="auto"/>
        <w:ind w:right="0" w:firstLine="480"/>
        <w:rPr>
          <w:color w:val="auto"/>
          <w:highlight w:val="none"/>
        </w:rPr>
      </w:pPr>
      <w:r>
        <w:rPr>
          <w:rFonts w:hint="eastAsia"/>
          <w:color w:val="auto"/>
          <w:highlight w:val="none"/>
        </w:rPr>
        <w:t>维护队伍较易到达</w:t>
      </w:r>
      <w:r>
        <w:rPr>
          <w:color w:val="auto"/>
          <w:highlight w:val="none"/>
        </w:rPr>
        <w:t>区域</w:t>
      </w:r>
      <w:r>
        <w:rPr>
          <w:rFonts w:hint="eastAsia"/>
          <w:color w:val="auto"/>
          <w:highlight w:val="none"/>
        </w:rPr>
        <w:t>基站建议采用蓄电池组+移动发电机组保障方式，偏远区域可选择蓄电池+移动发电机组或固定发电机组保障方式。</w:t>
      </w:r>
    </w:p>
    <w:p>
      <w:pPr>
        <w:pStyle w:val="Body"/>
        <w:spacing w:line="240" w:lineRule="auto"/>
        <w:ind w:right="0" w:firstLine="480"/>
        <w:rPr>
          <w:color w:val="auto"/>
          <w:highlight w:val="none"/>
        </w:rPr>
      </w:pPr>
      <w:r>
        <w:rPr>
          <w:rFonts w:hint="eastAsia"/>
          <w:color w:val="auto"/>
          <w:highlight w:val="none"/>
        </w:rPr>
        <w:t>新建基站蓄电池组后备时间应结合基站重要性、市电可靠性、运维能力、机房条件等因素确定，可根据平均断电时长、应急保障到位时间等因素进行调整。受交通、气候、人为阻挠等影响，导致不能及时发电保障的基站，可适当增加蓄电池组容量。农网、离网型市电的基站，可适当增加蓄电池组容量或储油箱容量。</w:t>
      </w:r>
    </w:p>
    <w:p>
      <w:pPr>
        <w:pStyle w:val="Heading3"/>
        <w:spacing w:line="240" w:lineRule="auto"/>
        <w:ind w:left="0" w:firstLine="482"/>
        <w:rPr>
          <w:rFonts w:ascii="Times New Roman" w:eastAsia="宋体" w:hAnsi="Times New Roman" w:cstheme="majorEastAsia"/>
          <w:color w:val="auto"/>
          <w:sz w:val="24"/>
          <w:szCs w:val="24"/>
          <w:highlight w:val="none"/>
        </w:rPr>
      </w:pPr>
      <w:bookmarkStart w:id="66" w:name="_Toc11206"/>
      <w:bookmarkStart w:id="67" w:name="_Toc6575276"/>
      <w:r>
        <w:rPr>
          <w:rFonts w:ascii="Times New Roman" w:eastAsia="宋体" w:hAnsi="Times New Roman" w:cstheme="majorEastAsia" w:hint="eastAsia"/>
          <w:color w:val="auto"/>
          <w:sz w:val="24"/>
          <w:szCs w:val="24"/>
          <w:highlight w:val="none"/>
        </w:rPr>
        <w:t>四、防雷</w:t>
      </w:r>
      <w:r>
        <w:rPr>
          <w:rFonts w:ascii="Times New Roman" w:eastAsia="宋体" w:hAnsi="Times New Roman" w:cstheme="majorEastAsia"/>
          <w:color w:val="auto"/>
          <w:sz w:val="24"/>
          <w:szCs w:val="24"/>
          <w:highlight w:val="none"/>
        </w:rPr>
        <w:t>接地原则</w:t>
      </w:r>
      <w:bookmarkEnd w:id="66"/>
      <w:bookmarkEnd w:id="67"/>
    </w:p>
    <w:p>
      <w:pPr>
        <w:pStyle w:val="Body"/>
        <w:spacing w:line="240" w:lineRule="auto"/>
        <w:ind w:right="0" w:firstLine="480"/>
        <w:rPr>
          <w:color w:val="auto"/>
          <w:highlight w:val="none"/>
        </w:rPr>
      </w:pPr>
      <w:r>
        <w:rPr>
          <w:rFonts w:hint="eastAsia"/>
          <w:color w:val="auto"/>
          <w:highlight w:val="none"/>
        </w:rPr>
        <w:t>广西是全国雷电灾害高发区，受区域山形地貌影响，广西的通信基站遭雷击事件经常发生，不仅威胁着通信基站的安全，也直接影响了人们的正常通信质量。</w:t>
      </w:r>
    </w:p>
    <w:p>
      <w:pPr>
        <w:pStyle w:val="Body"/>
        <w:spacing w:line="240" w:lineRule="auto"/>
        <w:ind w:right="0" w:firstLine="480"/>
        <w:rPr>
          <w:color w:val="auto"/>
          <w:highlight w:val="none"/>
        </w:rPr>
      </w:pPr>
      <w:r>
        <w:rPr>
          <w:rFonts w:hint="eastAsia"/>
          <w:color w:val="auto"/>
          <w:highlight w:val="none"/>
        </w:rPr>
        <w:t>为了减少雷击对通信设备的损害，进一步加强灾害防治工作，本工程依据有关雷电防护的国家标准，结合移动通信基站实际情况，对移动通信基站防雷与接地设计的技术规范和要求做了相关说明。</w:t>
      </w:r>
      <w:r>
        <w:rPr>
          <w:color w:val="auto"/>
          <w:highlight w:val="none"/>
        </w:rPr>
        <w:t xml:space="preserve"> </w:t>
      </w:r>
    </w:p>
    <w:p>
      <w:pPr>
        <w:pStyle w:val="Body"/>
        <w:spacing w:line="240" w:lineRule="auto"/>
        <w:ind w:right="0" w:firstLine="480"/>
        <w:rPr>
          <w:color w:val="auto"/>
          <w:highlight w:val="none"/>
        </w:rPr>
      </w:pPr>
    </w:p>
    <w:p>
      <w:pPr>
        <w:snapToGrid w:val="0"/>
        <w:spacing w:line="240" w:lineRule="auto"/>
        <w:ind w:left="0" w:firstLine="0" w:firstLineChars="0"/>
        <w:jc w:val="center"/>
        <w:rPr>
          <w:rFonts w:ascii="Times New Roman" w:eastAsia="宋体" w:hAnsi="Times New Roman"/>
          <w:color w:val="auto"/>
          <w:highlight w:val="none"/>
        </w:rPr>
      </w:pPr>
      <w:r>
        <w:rPr>
          <w:rFonts w:ascii="Times New Roman" w:eastAsia="宋体" w:hAnsi="Times New Roman"/>
          <w:color w:val="auto"/>
          <w:highlight w:val="none"/>
        </w:rPr>
        <w:drawing>
          <wp:inline distT="0" distB="0" distL="0" distR="0">
            <wp:extent cx="4143375" cy="2124075"/>
            <wp:effectExtent l="38100" t="38100" r="47625" b="47625"/>
            <wp:docPr id="18" name="图片 18" descr="1214212822485f6ad63af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214212822485f6ad63afd9"/>
                    <pic:cNvPicPr>
                      <a:picLocks noChangeAspect="1" noChangeArrowheads="1"/>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143375" cy="2124075"/>
                    </a:xfrm>
                    <a:prstGeom prst="rect">
                      <a:avLst/>
                    </a:prstGeom>
                    <a:noFill/>
                    <a:ln w="28575">
                      <a:solidFill>
                        <a:srgbClr val="000000"/>
                      </a:solidFill>
                      <a:miter lim="800000"/>
                      <a:headEnd/>
                      <a:tailEnd/>
                    </a:ln>
                  </pic:spPr>
                </pic:pic>
              </a:graphicData>
            </a:graphic>
          </wp:inline>
        </w:drawing>
      </w:r>
    </w:p>
    <w:p>
      <w:pPr>
        <w:snapToGrid w:val="0"/>
        <w:spacing w:line="240" w:lineRule="auto"/>
        <w:ind w:left="0" w:firstLine="0" w:firstLineChars="0"/>
        <w:jc w:val="center"/>
        <w:rPr>
          <w:rFonts w:ascii="Times New Roman" w:eastAsia="宋体" w:hAnsi="Times New Roman"/>
          <w:b/>
          <w:color w:val="auto"/>
          <w:szCs w:val="21"/>
          <w:highlight w:val="none"/>
        </w:rPr>
      </w:pPr>
      <w:r>
        <w:rPr>
          <w:rFonts w:ascii="Times New Roman" w:eastAsia="宋体" w:hAnsi="Times New Roman" w:hint="eastAsia"/>
          <w:b/>
          <w:color w:val="auto"/>
          <w:szCs w:val="21"/>
          <w:highlight w:val="none"/>
        </w:rPr>
        <w:t>图11</w:t>
      </w:r>
      <w:r>
        <w:rPr>
          <w:rFonts w:ascii="Times New Roman" w:eastAsia="宋体" w:hAnsi="Times New Roman"/>
          <w:b/>
          <w:color w:val="auto"/>
          <w:szCs w:val="21"/>
          <w:highlight w:val="none"/>
        </w:rPr>
        <w:t>-1</w:t>
      </w:r>
      <w:r>
        <w:rPr>
          <w:rFonts w:ascii="Times New Roman" w:eastAsia="宋体" w:hAnsi="Times New Roman" w:hint="eastAsia"/>
          <w:b/>
          <w:color w:val="auto"/>
          <w:szCs w:val="21"/>
          <w:highlight w:val="none"/>
        </w:rPr>
        <w:t xml:space="preserve">4 </w:t>
      </w:r>
      <w:r>
        <w:rPr>
          <w:rFonts w:ascii="Times New Roman" w:eastAsia="宋体" w:hAnsi="Times New Roman"/>
          <w:b/>
          <w:color w:val="auto"/>
          <w:szCs w:val="21"/>
          <w:highlight w:val="none"/>
        </w:rPr>
        <w:t xml:space="preserve"> </w:t>
      </w:r>
      <w:r>
        <w:rPr>
          <w:rFonts w:ascii="Times New Roman" w:eastAsia="宋体" w:hAnsi="Times New Roman" w:hint="eastAsia"/>
          <w:b/>
          <w:color w:val="auto"/>
          <w:szCs w:val="21"/>
          <w:highlight w:val="none"/>
        </w:rPr>
        <w:t>地网示意图</w:t>
      </w:r>
    </w:p>
    <w:p>
      <w:pPr>
        <w:pStyle w:val="Body"/>
        <w:spacing w:line="240" w:lineRule="auto"/>
        <w:ind w:right="0" w:firstLine="480"/>
        <w:rPr>
          <w:color w:val="auto"/>
          <w:highlight w:val="none"/>
        </w:rPr>
      </w:pPr>
      <w:r>
        <w:rPr>
          <w:rFonts w:hint="eastAsia"/>
          <w:color w:val="auto"/>
          <w:highlight w:val="none"/>
        </w:rPr>
        <w:t>基站防雷系统、接地系统的设置应符合《通信局（站）防雷与接地工程设计规范》（GB50689-2011）的要求。基站地线系统应采用联合接地方式，即工作接地、保护接地、防雷接地共设一组接地体。基站应按均压、等电位的原理，按联合接地地网的要求施工，基站的工频接地电阻一般控制在10Ω之内、地网的等效半径应在10米左右，或采用隔离式防雷系统。</w:t>
      </w:r>
    </w:p>
    <w:p>
      <w:pPr>
        <w:pStyle w:val="Body"/>
        <w:spacing w:line="240" w:lineRule="auto"/>
        <w:ind w:right="0" w:firstLine="480"/>
        <w:rPr>
          <w:color w:val="auto"/>
          <w:highlight w:val="none"/>
        </w:rPr>
      </w:pPr>
    </w:p>
    <w:p>
      <w:pPr>
        <w:widowControl/>
        <w:spacing w:line="240" w:lineRule="auto"/>
        <w:ind w:left="0" w:firstLine="0" w:firstLineChars="0"/>
        <w:jc w:val="left"/>
        <w:rPr>
          <w:rFonts w:ascii="Times New Roman" w:eastAsia="宋体" w:hAnsi="Times New Roman"/>
          <w:b/>
          <w:color w:val="auto"/>
          <w:sz w:val="32"/>
          <w:szCs w:val="32"/>
          <w:highlight w:val="none"/>
        </w:rPr>
      </w:pPr>
      <w:r>
        <w:rPr>
          <w:rFonts w:ascii="Times New Roman" w:eastAsia="宋体" w:hAnsi="Times New Roman"/>
          <w:color w:val="auto"/>
          <w:sz w:val="32"/>
          <w:szCs w:val="32"/>
          <w:highlight w:val="none"/>
        </w:rPr>
        <w:br w:type="page"/>
      </w:r>
    </w:p>
    <w:p>
      <w:pPr>
        <w:pStyle w:val="Heading2"/>
        <w:spacing w:before="260" w:after="260" w:line="240" w:lineRule="auto"/>
        <w:ind w:left="0" w:firstLine="643"/>
        <w:rPr>
          <w:rFonts w:ascii="Times New Roman" w:eastAsia="宋体" w:hAnsi="Times New Roman"/>
          <w:color w:val="auto"/>
          <w:sz w:val="32"/>
          <w:szCs w:val="32"/>
          <w:highlight w:val="none"/>
        </w:rPr>
      </w:pPr>
      <w:bookmarkStart w:id="68" w:name="_Toc6312"/>
      <w:r>
        <w:rPr>
          <w:rFonts w:ascii="Times New Roman" w:eastAsia="宋体" w:hAnsi="Times New Roman" w:hint="eastAsia"/>
          <w:color w:val="auto"/>
          <w:sz w:val="32"/>
          <w:szCs w:val="32"/>
          <w:highlight w:val="none"/>
        </w:rPr>
        <w:t>第十二章 市电引入规划</w:t>
      </w:r>
      <w:bookmarkEnd w:id="68"/>
    </w:p>
    <w:p>
      <w:pPr>
        <w:pStyle w:val="Heading3"/>
        <w:spacing w:line="240" w:lineRule="auto"/>
        <w:ind w:left="0" w:firstLine="482"/>
        <w:rPr>
          <w:rFonts w:ascii="Times New Roman" w:eastAsia="宋体" w:hAnsi="Times New Roman" w:cstheme="majorEastAsia"/>
          <w:color w:val="auto"/>
          <w:sz w:val="24"/>
          <w:szCs w:val="24"/>
          <w:highlight w:val="none"/>
        </w:rPr>
      </w:pPr>
      <w:bookmarkEnd w:id="56"/>
      <w:bookmarkStart w:id="69" w:name="_Toc19431"/>
      <w:bookmarkStart w:id="70" w:name="_Toc210718904"/>
      <w:bookmarkStart w:id="71" w:name="_Toc444005344"/>
      <w:r>
        <w:rPr>
          <w:rFonts w:ascii="Times New Roman" w:eastAsia="宋体" w:hAnsi="Times New Roman" w:cstheme="majorEastAsia" w:hint="eastAsia"/>
          <w:color w:val="auto"/>
          <w:sz w:val="24"/>
          <w:szCs w:val="24"/>
          <w:highlight w:val="none"/>
        </w:rPr>
        <w:t>一、市电供电等级分类标准</w:t>
      </w:r>
      <w:bookmarkEnd w:id="69"/>
    </w:p>
    <w:p>
      <w:pPr>
        <w:pStyle w:val="Body"/>
        <w:spacing w:line="240" w:lineRule="auto"/>
        <w:ind w:right="0" w:firstLine="480"/>
        <w:rPr>
          <w:color w:val="auto"/>
          <w:highlight w:val="none"/>
        </w:rPr>
      </w:pPr>
      <w:r>
        <w:rPr>
          <w:rFonts w:hint="eastAsia"/>
          <w:color w:val="auto"/>
          <w:highlight w:val="none"/>
        </w:rPr>
        <w:t>1、一类市电供电方式</w:t>
      </w:r>
    </w:p>
    <w:p>
      <w:pPr>
        <w:pStyle w:val="Body"/>
        <w:spacing w:line="240" w:lineRule="auto"/>
        <w:ind w:right="0" w:firstLine="480"/>
        <w:rPr>
          <w:color w:val="auto"/>
          <w:highlight w:val="none"/>
        </w:rPr>
      </w:pPr>
      <w:r>
        <w:rPr>
          <w:rFonts w:hint="eastAsia"/>
          <w:color w:val="auto"/>
          <w:highlight w:val="none"/>
        </w:rPr>
        <w:t>一类市电供电方式为从两个稳定可靠的独立电源引入两路供电线，两路供电线不应有同时检修停电的供电方式。两路供电线宜配置备用电源自动投入装置。</w:t>
      </w:r>
    </w:p>
    <w:p>
      <w:pPr>
        <w:pStyle w:val="Body"/>
        <w:spacing w:line="240" w:lineRule="auto"/>
        <w:ind w:right="0" w:firstLine="480"/>
        <w:rPr>
          <w:color w:val="auto"/>
          <w:highlight w:val="none"/>
        </w:rPr>
      </w:pPr>
      <w:r>
        <w:rPr>
          <w:rFonts w:hint="eastAsia"/>
          <w:color w:val="auto"/>
          <w:highlight w:val="none"/>
        </w:rPr>
        <w:t>一类市电供电方式的不可用度指标：平均月市电故障次数应≤</w:t>
      </w:r>
      <w:r>
        <w:rPr>
          <w:color w:val="auto"/>
          <w:highlight w:val="none"/>
        </w:rPr>
        <w:t>1</w:t>
      </w:r>
      <w:r>
        <w:rPr>
          <w:rFonts w:hint="eastAsia"/>
          <w:color w:val="auto"/>
          <w:highlight w:val="none"/>
        </w:rPr>
        <w:t>次，平均每次故障持续时间≤</w:t>
      </w:r>
      <w:r>
        <w:rPr>
          <w:color w:val="auto"/>
          <w:highlight w:val="none"/>
        </w:rPr>
        <w:t>0.5h</w:t>
      </w:r>
      <w:r>
        <w:rPr>
          <w:rFonts w:hint="eastAsia"/>
          <w:color w:val="auto"/>
          <w:highlight w:val="none"/>
        </w:rPr>
        <w:t>。市电的年不可用度应＜</w:t>
      </w:r>
      <w:r>
        <w:rPr>
          <w:color w:val="auto"/>
          <w:highlight w:val="none"/>
        </w:rPr>
        <w:t>6.8×10</w:t>
      </w:r>
      <w:r>
        <w:rPr>
          <w:color w:val="auto"/>
          <w:highlight w:val="none"/>
          <w:vertAlign w:val="superscript"/>
        </w:rPr>
        <w:t>-4</w:t>
      </w:r>
      <w:r>
        <w:rPr>
          <w:rFonts w:hint="eastAsia"/>
          <w:color w:val="auto"/>
          <w:highlight w:val="none"/>
        </w:rPr>
        <w:t>。</w:t>
      </w:r>
    </w:p>
    <w:p>
      <w:pPr>
        <w:pStyle w:val="Body"/>
        <w:spacing w:line="240" w:lineRule="auto"/>
        <w:ind w:right="0" w:firstLine="480"/>
        <w:rPr>
          <w:color w:val="auto"/>
          <w:highlight w:val="none"/>
        </w:rPr>
      </w:pPr>
      <w:r>
        <w:rPr>
          <w:rFonts w:hint="eastAsia"/>
          <w:color w:val="auto"/>
          <w:highlight w:val="none"/>
        </w:rPr>
        <w:t>2、二类市电供电方</w:t>
      </w:r>
    </w:p>
    <w:p>
      <w:pPr>
        <w:pStyle w:val="Body"/>
        <w:spacing w:line="240" w:lineRule="auto"/>
        <w:ind w:right="0" w:firstLine="480"/>
        <w:rPr>
          <w:color w:val="auto"/>
          <w:highlight w:val="none"/>
        </w:rPr>
      </w:pPr>
      <w:r>
        <w:rPr>
          <w:rFonts w:hint="eastAsia"/>
          <w:color w:val="auto"/>
          <w:highlight w:val="none"/>
        </w:rPr>
        <w:t>二类市电供电方式为满足以下两个条件之一者：</w:t>
      </w:r>
    </w:p>
    <w:p>
      <w:pPr>
        <w:pStyle w:val="Body"/>
        <w:spacing w:line="240" w:lineRule="auto"/>
        <w:ind w:right="0" w:firstLine="480"/>
        <w:rPr>
          <w:color w:val="auto"/>
          <w:highlight w:val="none"/>
        </w:rPr>
      </w:pPr>
      <w:r>
        <w:rPr>
          <w:rFonts w:hint="eastAsia"/>
          <w:color w:val="auto"/>
          <w:highlight w:val="none"/>
        </w:rPr>
        <w:t>（1）从两个以上独立电源构成的稳定可靠的环形网上引入一路供电线的供电方式；</w:t>
      </w:r>
    </w:p>
    <w:p>
      <w:pPr>
        <w:pStyle w:val="Body"/>
        <w:spacing w:line="240" w:lineRule="auto"/>
        <w:ind w:right="0" w:firstLine="480"/>
        <w:rPr>
          <w:color w:val="auto"/>
          <w:highlight w:val="none"/>
        </w:rPr>
      </w:pPr>
      <w:r>
        <w:rPr>
          <w:rFonts w:hint="eastAsia"/>
          <w:color w:val="auto"/>
          <w:highlight w:val="none"/>
        </w:rPr>
        <w:t>（2）从一个稳定可靠的电源或从稳定可靠的输电线路上引入一路供电线的供电方式。</w:t>
      </w:r>
    </w:p>
    <w:p>
      <w:pPr>
        <w:pStyle w:val="Body"/>
        <w:spacing w:line="240" w:lineRule="auto"/>
        <w:ind w:right="0" w:firstLine="480"/>
        <w:rPr>
          <w:color w:val="auto"/>
          <w:highlight w:val="none"/>
        </w:rPr>
      </w:pPr>
      <w:r>
        <w:rPr>
          <w:rFonts w:hint="eastAsia"/>
          <w:color w:val="auto"/>
          <w:highlight w:val="none"/>
        </w:rPr>
        <w:t>二类市电供电方式的不可用度指标：平均月市电故障≤3.5次，平均每次市电故障持续时间应≤6h，市电的年不可用度应＜3×10</w:t>
      </w:r>
      <w:r>
        <w:rPr>
          <w:rFonts w:hint="eastAsia"/>
          <w:color w:val="auto"/>
          <w:highlight w:val="none"/>
          <w:vertAlign w:val="superscript"/>
        </w:rPr>
        <w:t>-2</w:t>
      </w:r>
      <w:r>
        <w:rPr>
          <w:rFonts w:hint="eastAsia"/>
          <w:color w:val="auto"/>
          <w:highlight w:val="none"/>
        </w:rPr>
        <w:t>。</w:t>
      </w:r>
    </w:p>
    <w:p>
      <w:pPr>
        <w:pStyle w:val="Body"/>
        <w:spacing w:line="240" w:lineRule="auto"/>
        <w:ind w:right="0" w:firstLine="480"/>
        <w:rPr>
          <w:color w:val="auto"/>
          <w:highlight w:val="none"/>
        </w:rPr>
      </w:pPr>
      <w:r>
        <w:rPr>
          <w:rFonts w:hint="eastAsia"/>
          <w:color w:val="auto"/>
          <w:highlight w:val="none"/>
        </w:rPr>
        <w:t>3、三类市电供电方式</w:t>
      </w:r>
    </w:p>
    <w:p>
      <w:pPr>
        <w:pStyle w:val="Body"/>
        <w:spacing w:line="240" w:lineRule="auto"/>
        <w:ind w:right="0" w:firstLine="480"/>
        <w:rPr>
          <w:color w:val="auto"/>
          <w:highlight w:val="none"/>
        </w:rPr>
      </w:pPr>
      <w:r>
        <w:rPr>
          <w:rFonts w:hint="eastAsia"/>
          <w:color w:val="auto"/>
          <w:highlight w:val="none"/>
        </w:rPr>
        <w:t>三类市电供电方式为从一个电源引入一路供电线的供电方式。</w:t>
      </w:r>
    </w:p>
    <w:p>
      <w:pPr>
        <w:pStyle w:val="Body"/>
        <w:spacing w:line="240" w:lineRule="auto"/>
        <w:ind w:right="0" w:firstLine="480"/>
        <w:rPr>
          <w:color w:val="auto"/>
          <w:highlight w:val="none"/>
        </w:rPr>
      </w:pPr>
      <w:r>
        <w:rPr>
          <w:rFonts w:hint="eastAsia"/>
          <w:color w:val="auto"/>
          <w:highlight w:val="none"/>
        </w:rPr>
        <w:t>三类市电供电方式的不可用度指标：平均月市电故障≤</w:t>
      </w:r>
      <w:r>
        <w:rPr>
          <w:color w:val="auto"/>
          <w:highlight w:val="none"/>
        </w:rPr>
        <w:t>4.5</w:t>
      </w:r>
      <w:r>
        <w:rPr>
          <w:rFonts w:hint="eastAsia"/>
          <w:color w:val="auto"/>
          <w:highlight w:val="none"/>
        </w:rPr>
        <w:t>次，平均每次市电故障持续时间应≤</w:t>
      </w:r>
      <w:r>
        <w:rPr>
          <w:color w:val="auto"/>
          <w:highlight w:val="none"/>
        </w:rPr>
        <w:t>8h</w:t>
      </w:r>
      <w:r>
        <w:rPr>
          <w:rFonts w:hint="eastAsia"/>
          <w:color w:val="auto"/>
          <w:highlight w:val="none"/>
        </w:rPr>
        <w:t>，市电的年不可用度应＜</w:t>
      </w:r>
      <w:r>
        <w:rPr>
          <w:color w:val="auto"/>
          <w:highlight w:val="none"/>
        </w:rPr>
        <w:t>5×10</w:t>
      </w:r>
      <w:r>
        <w:rPr>
          <w:color w:val="auto"/>
          <w:highlight w:val="none"/>
          <w:vertAlign w:val="superscript"/>
        </w:rPr>
        <w:t>-2</w:t>
      </w:r>
      <w:r>
        <w:rPr>
          <w:rFonts w:hint="eastAsia"/>
          <w:color w:val="auto"/>
          <w:highlight w:val="none"/>
        </w:rPr>
        <w:t>。</w:t>
      </w:r>
    </w:p>
    <w:p>
      <w:pPr>
        <w:pStyle w:val="Body"/>
        <w:numPr>
          <w:ilvl w:val="0"/>
          <w:numId w:val="4"/>
        </w:numPr>
        <w:spacing w:line="240" w:lineRule="auto"/>
        <w:ind w:right="0" w:firstLine="480"/>
        <w:rPr>
          <w:color w:val="auto"/>
          <w:highlight w:val="none"/>
        </w:rPr>
      </w:pPr>
      <w:r>
        <w:rPr>
          <w:rFonts w:hint="eastAsia"/>
          <w:color w:val="auto"/>
          <w:highlight w:val="none"/>
        </w:rPr>
        <w:t>四类市电供电方式</w:t>
      </w:r>
    </w:p>
    <w:p>
      <w:pPr>
        <w:pStyle w:val="Body"/>
        <w:spacing w:line="240" w:lineRule="auto"/>
        <w:ind w:left="420" w:right="0" w:firstLine="0" w:leftChars="200" w:firstLineChars="0"/>
        <w:rPr>
          <w:color w:val="auto"/>
          <w:highlight w:val="none"/>
        </w:rPr>
      </w:pPr>
      <w:r>
        <w:rPr>
          <w:rFonts w:hint="eastAsia"/>
          <w:color w:val="auto"/>
          <w:highlight w:val="none"/>
        </w:rPr>
        <w:t>四类市电供电应符合下列条件之一的要求：</w:t>
      </w:r>
    </w:p>
    <w:p>
      <w:pPr>
        <w:pStyle w:val="Body"/>
        <w:spacing w:line="240" w:lineRule="auto"/>
        <w:ind w:right="0" w:firstLine="480"/>
        <w:rPr>
          <w:color w:val="auto"/>
          <w:highlight w:val="none"/>
        </w:rPr>
      </w:pPr>
      <w:r>
        <w:rPr>
          <w:rFonts w:hint="eastAsia"/>
          <w:color w:val="auto"/>
          <w:highlight w:val="none"/>
        </w:rPr>
        <w:t>（1）由一个电源引入一路供电线，经常昼夜停电，供电无保证，达不到第三类市电供电要求，市电的年不可用度＞</w:t>
      </w:r>
      <w:r>
        <w:rPr>
          <w:color w:val="auto"/>
          <w:highlight w:val="none"/>
        </w:rPr>
        <w:t>5×10</w:t>
      </w:r>
      <w:r>
        <w:rPr>
          <w:color w:val="auto"/>
          <w:highlight w:val="none"/>
          <w:vertAlign w:val="superscript"/>
        </w:rPr>
        <w:t>-2</w:t>
      </w:r>
      <w:r>
        <w:rPr>
          <w:rFonts w:hint="eastAsia"/>
          <w:color w:val="auto"/>
          <w:highlight w:val="none"/>
        </w:rPr>
        <w:t>；</w:t>
      </w:r>
    </w:p>
    <w:p>
      <w:pPr>
        <w:pStyle w:val="Body"/>
        <w:spacing w:line="240" w:lineRule="auto"/>
        <w:ind w:right="0" w:firstLine="480"/>
        <w:rPr>
          <w:color w:val="auto"/>
          <w:highlight w:val="none"/>
        </w:rPr>
      </w:pPr>
      <w:r>
        <w:rPr>
          <w:rFonts w:hint="eastAsia"/>
          <w:color w:val="auto"/>
          <w:highlight w:val="none"/>
        </w:rPr>
        <w:t>（2）有季节性长时间停电或无市电可用。</w:t>
      </w:r>
    </w:p>
    <w:p>
      <w:pPr>
        <w:pStyle w:val="Heading3"/>
        <w:spacing w:line="240" w:lineRule="auto"/>
        <w:ind w:left="0" w:firstLine="482"/>
        <w:rPr>
          <w:rFonts w:ascii="Times New Roman" w:eastAsia="宋体" w:hAnsi="Times New Roman" w:cstheme="majorEastAsia"/>
          <w:color w:val="auto"/>
          <w:sz w:val="24"/>
          <w:szCs w:val="24"/>
          <w:highlight w:val="none"/>
        </w:rPr>
      </w:pPr>
      <w:bookmarkStart w:id="72" w:name="_Toc935"/>
      <w:r>
        <w:rPr>
          <w:rFonts w:ascii="Times New Roman" w:eastAsia="宋体" w:hAnsi="Times New Roman" w:cstheme="majorEastAsia" w:hint="eastAsia"/>
          <w:color w:val="auto"/>
          <w:sz w:val="24"/>
          <w:szCs w:val="24"/>
          <w:highlight w:val="none"/>
        </w:rPr>
        <w:t>二、市电引入需求</w:t>
      </w:r>
      <w:bookmarkEnd w:id="72"/>
    </w:p>
    <w:p>
      <w:pPr>
        <w:spacing w:line="240" w:lineRule="auto"/>
        <w:ind w:left="0" w:firstLine="309" w:firstLineChars="147"/>
        <w:rPr>
          <w:rFonts w:ascii="Times New Roman" w:eastAsia="宋体" w:hAnsi="Times New Roman" w:cstheme="minorEastAsia"/>
          <w:color w:val="auto"/>
          <w:sz w:val="24"/>
          <w:szCs w:val="24"/>
          <w:highlight w:val="none"/>
        </w:rPr>
      </w:pPr>
      <w:r>
        <w:rPr>
          <w:rFonts w:ascii="Times New Roman" w:eastAsia="宋体" w:hAnsi="Times New Roman" w:cstheme="minorEastAsia" w:hint="eastAsia"/>
          <w:color w:val="auto"/>
          <w:sz w:val="24"/>
          <w:szCs w:val="24"/>
          <w:highlight w:val="none"/>
        </w:rPr>
        <w:t>1、基站市电引入需求</w:t>
      </w:r>
    </w:p>
    <w:p>
      <w:pPr>
        <w:spacing w:line="240" w:lineRule="auto"/>
        <w:ind w:left="0" w:firstLine="309" w:firstLineChars="147"/>
        <w:rPr>
          <w:rFonts w:ascii="Times New Roman" w:eastAsia="宋体" w:hAnsi="Times New Roman"/>
          <w:bCs/>
          <w:color w:val="auto"/>
          <w:sz w:val="24"/>
          <w:szCs w:val="24"/>
          <w:highlight w:val="none"/>
        </w:rPr>
      </w:pPr>
      <w:r>
        <w:rPr>
          <w:rFonts w:ascii="Times New Roman" w:eastAsia="宋体" w:hAnsi="Times New Roman" w:hint="eastAsia"/>
          <w:bCs/>
          <w:color w:val="auto"/>
          <w:sz w:val="24"/>
          <w:szCs w:val="24"/>
          <w:highlight w:val="none"/>
        </w:rPr>
        <w:t>（1）基站能耗分析</w:t>
      </w:r>
    </w:p>
    <w:p>
      <w:pPr>
        <w:pStyle w:val="Body"/>
        <w:spacing w:line="240" w:lineRule="auto"/>
        <w:ind w:right="0" w:firstLine="480"/>
        <w:rPr>
          <w:color w:val="auto"/>
          <w:highlight w:val="none"/>
        </w:rPr>
      </w:pPr>
      <w:r>
        <w:rPr>
          <w:rFonts w:hint="eastAsia"/>
          <w:color w:val="auto"/>
          <w:highlight w:val="none"/>
        </w:rPr>
        <w:t>5G基站一般按照BBU+3AAU 配置，主流厂家典型峰值功耗约4kW左右，传输设备1kW左右功耗，1个典型的5G基站所需新增功耗约为5kW；4G典型配置整机功耗约1.2kW，5G相当于4G功耗3倍。5G功耗的大幅增加。</w:t>
      </w:r>
    </w:p>
    <w:p>
      <w:pPr>
        <w:pStyle w:val="Body"/>
        <w:spacing w:line="240" w:lineRule="auto"/>
        <w:ind w:right="0" w:firstLine="480"/>
        <w:rPr>
          <w:color w:val="auto"/>
          <w:highlight w:val="none"/>
        </w:rPr>
      </w:pPr>
      <w:r>
        <w:rPr>
          <w:rFonts w:hint="eastAsia"/>
          <w:color w:val="auto"/>
          <w:highlight w:val="none"/>
        </w:rPr>
        <w:t>由于5G基站功耗增大，供电需求急剧增加，但大部分利旧站点原有交流引入设计负荷小于20kw，原有大量利旧站点交流系统的变压器容量不足，交流线缆过细不满足线缆载流量和压降要求，交流配电箱内空开分断能力不足，现有油机发电功率不满足机房供电需求，因此大量的变压器以及交流引入线路等需要进行改造。</w:t>
      </w:r>
    </w:p>
    <w:p>
      <w:pPr>
        <w:pStyle w:val="Body"/>
        <w:spacing w:after="0" w:line="240" w:lineRule="auto"/>
        <w:ind w:right="0" w:firstLine="480"/>
        <w:rPr>
          <w:color w:val="auto"/>
          <w:highlight w:val="none"/>
        </w:rPr>
      </w:pPr>
      <w:r>
        <w:rPr>
          <w:rFonts w:hint="eastAsia"/>
          <w:color w:val="auto"/>
          <w:highlight w:val="none"/>
        </w:rPr>
        <w:t>对于新建站点，为满足各家5G以及其它网络建设的功耗需求，交流引入设计负荷不得小于 30kw。对集中供电站点，可根据区域内站点规模，选用低压集中供电机房（100KW 低压集中）和高压集中供电机房（25KW高压集中）两种。</w:t>
      </w:r>
    </w:p>
    <w:p>
      <w:pPr>
        <w:spacing w:line="240" w:lineRule="auto"/>
        <w:ind w:left="0" w:firstLine="480"/>
        <w:rPr>
          <w:rFonts w:ascii="Times New Roman" w:eastAsia="宋体" w:hAnsi="Times New Roman"/>
          <w:bCs/>
          <w:color w:val="auto"/>
          <w:sz w:val="24"/>
          <w:szCs w:val="24"/>
          <w:highlight w:val="none"/>
        </w:rPr>
      </w:pPr>
      <w:r>
        <w:rPr>
          <w:rFonts w:ascii="Times New Roman" w:eastAsia="宋体" w:hAnsi="Times New Roman" w:hint="eastAsia"/>
          <w:bCs/>
          <w:color w:val="auto"/>
          <w:sz w:val="24"/>
          <w:szCs w:val="24"/>
          <w:highlight w:val="none"/>
        </w:rPr>
        <w:t>（2）基站市电引入要求</w:t>
      </w:r>
    </w:p>
    <w:p>
      <w:pPr>
        <w:pStyle w:val="Body"/>
        <w:spacing w:line="240" w:lineRule="auto"/>
        <w:ind w:right="0" w:firstLine="480"/>
        <w:rPr>
          <w:color w:val="auto"/>
          <w:highlight w:val="none"/>
        </w:rPr>
      </w:pPr>
      <w:r>
        <w:rPr>
          <w:rFonts w:hint="eastAsia"/>
          <w:color w:val="auto"/>
          <w:highlight w:val="none"/>
        </w:rPr>
        <w:t>移动通信基站市电原则上引入一路不差于三类（平均月市电故障≤4.5次，平均每次故障持续时间≤8h）的市电电源，优选从公共电网引入一路380V/220V的交流电源。</w:t>
      </w:r>
    </w:p>
    <w:p>
      <w:pPr>
        <w:pStyle w:val="Body"/>
        <w:spacing w:line="240" w:lineRule="auto"/>
        <w:ind w:right="0" w:firstLine="480"/>
        <w:rPr>
          <w:color w:val="auto"/>
          <w:highlight w:val="none"/>
        </w:rPr>
      </w:pPr>
      <w:r>
        <w:rPr>
          <w:rFonts w:hint="eastAsia"/>
          <w:color w:val="auto"/>
          <w:highlight w:val="none"/>
        </w:rPr>
        <w:t>由于5G设备参数相比于4G系统有所不同，导致设备功耗的增加，对机房空间、外电容量、电源配置及空调散热等提出更高的要求。参考前期部分城市5G建设情况，综合考虑后期设备升级降耗，以及节能软件的采用。综合考虑基站远期规划容量配置及三家运营商共享需求，交流市电引入容量要求不小于30kVA。为降低基站建设成本，在市电容量满足的基础上应优先采用引380V低压的方式。</w:t>
      </w:r>
    </w:p>
    <w:p>
      <w:pPr>
        <w:pStyle w:val="Body"/>
        <w:spacing w:line="240" w:lineRule="auto"/>
        <w:ind w:right="0" w:firstLine="480"/>
        <w:rPr>
          <w:color w:val="auto"/>
          <w:highlight w:val="none"/>
        </w:rPr>
      </w:pPr>
      <w:r>
        <w:rPr>
          <w:rFonts w:hint="eastAsia"/>
          <w:color w:val="auto"/>
          <w:highlight w:val="none"/>
        </w:rPr>
        <w:t>目前基站的交流供电基本上以当地市电作为主用交流电源，而市电引入情况大概可以分为以下四种情况：</w:t>
      </w:r>
    </w:p>
    <w:p>
      <w:pPr>
        <w:pStyle w:val="Body"/>
        <w:spacing w:line="240" w:lineRule="auto"/>
        <w:ind w:right="0" w:firstLine="480"/>
        <w:rPr>
          <w:color w:val="auto"/>
          <w:highlight w:val="none"/>
        </w:rPr>
      </w:pPr>
      <w:r>
        <w:rPr>
          <w:rFonts w:hint="eastAsia"/>
          <w:color w:val="auto"/>
          <w:highlight w:val="none"/>
        </w:rPr>
        <w:t>1）新建机房设有专用变压器，通过1路10KV高压引至基站专用变压器，通过变压器降压后负责基站设备供电。</w:t>
      </w:r>
    </w:p>
    <w:p>
      <w:pPr>
        <w:pStyle w:val="Body"/>
        <w:spacing w:line="240" w:lineRule="auto"/>
        <w:ind w:right="0" w:firstLine="480"/>
        <w:rPr>
          <w:color w:val="auto"/>
          <w:highlight w:val="none"/>
        </w:rPr>
      </w:pPr>
      <w:r>
        <w:rPr>
          <w:rFonts w:hint="eastAsia"/>
          <w:color w:val="auto"/>
          <w:highlight w:val="none"/>
        </w:rPr>
        <w:t>2）新建机房无专用变压器，从远端的公用变压器引1路380V（或220V）至基站，负责基站设备的供电。</w:t>
      </w:r>
    </w:p>
    <w:p>
      <w:pPr>
        <w:pStyle w:val="Body"/>
        <w:spacing w:after="0" w:line="240" w:lineRule="auto"/>
        <w:ind w:right="0" w:firstLine="480"/>
        <w:rPr>
          <w:color w:val="auto"/>
          <w:highlight w:val="none"/>
        </w:rPr>
      </w:pPr>
      <w:r>
        <w:rPr>
          <w:rFonts w:hint="eastAsia"/>
          <w:color w:val="auto"/>
          <w:highlight w:val="none"/>
        </w:rPr>
        <w:t>3）租用民房设有专用变压器的基站，从租用民房的低压配电系统的输出分路引至基站。（4）租用民房无专用变压器的基站，从租用民房的总交流配电箱处引至基站。</w:t>
      </w:r>
    </w:p>
    <w:p>
      <w:pPr>
        <w:spacing w:line="240" w:lineRule="auto"/>
        <w:ind w:left="0" w:firstLine="309" w:firstLineChars="147"/>
        <w:rPr>
          <w:rFonts w:ascii="Times New Roman" w:eastAsia="宋体" w:hAnsi="Times New Roman" w:cstheme="majorEastAsia"/>
          <w:color w:val="auto"/>
          <w:sz w:val="24"/>
          <w:szCs w:val="24"/>
          <w:highlight w:val="none"/>
        </w:rPr>
      </w:pPr>
      <w:r>
        <w:rPr>
          <w:rFonts w:ascii="Times New Roman" w:eastAsia="宋体" w:hAnsi="Times New Roman" w:cstheme="majorEastAsia" w:hint="eastAsia"/>
          <w:color w:val="auto"/>
          <w:sz w:val="24"/>
          <w:szCs w:val="24"/>
          <w:highlight w:val="none"/>
        </w:rPr>
        <w:t>2、重点机房市电引入需求</w:t>
      </w:r>
    </w:p>
    <w:p>
      <w:pPr>
        <w:spacing w:line="240" w:lineRule="auto"/>
        <w:ind w:left="0" w:firstLine="309" w:firstLineChars="147"/>
        <w:rPr>
          <w:rFonts w:ascii="Times New Roman" w:eastAsia="宋体" w:hAnsi="Times New Roman"/>
          <w:bCs/>
          <w:color w:val="auto"/>
          <w:sz w:val="24"/>
          <w:szCs w:val="24"/>
          <w:highlight w:val="none"/>
        </w:rPr>
      </w:pPr>
      <w:r>
        <w:rPr>
          <w:rFonts w:ascii="Times New Roman" w:eastAsia="宋体" w:hAnsi="Times New Roman" w:hint="eastAsia"/>
          <w:bCs/>
          <w:color w:val="auto"/>
          <w:sz w:val="24"/>
          <w:szCs w:val="24"/>
          <w:highlight w:val="none"/>
        </w:rPr>
        <w:t>（1）重点机房能耗分析</w:t>
      </w:r>
    </w:p>
    <w:p>
      <w:pPr>
        <w:pStyle w:val="Body"/>
        <w:spacing w:line="240" w:lineRule="auto"/>
        <w:ind w:right="0" w:firstLine="480"/>
        <w:rPr>
          <w:rFonts w:cs="宋体"/>
          <w:color w:val="auto"/>
          <w:szCs w:val="24"/>
          <w:highlight w:val="none"/>
        </w:rPr>
      </w:pPr>
      <w:r>
        <w:rPr>
          <w:rFonts w:cs="宋体" w:hint="eastAsia"/>
          <w:color w:val="auto"/>
          <w:szCs w:val="24"/>
          <w:highlight w:val="none"/>
        </w:rPr>
        <w:t>原有</w:t>
      </w:r>
      <w:r>
        <w:rPr>
          <w:rFonts w:cs="宋体"/>
          <w:color w:val="auto"/>
          <w:szCs w:val="24"/>
          <w:highlight w:val="none"/>
        </w:rPr>
        <w:t>通信机房中主设备主要为核心网设备、IP网设备和传输网（除接入传输）设备，基础设施主要为空调、电源。5G</w:t>
      </w:r>
      <w:r>
        <w:rPr>
          <w:rFonts w:cs="宋体" w:hint="eastAsia"/>
          <w:color w:val="auto"/>
          <w:szCs w:val="24"/>
          <w:highlight w:val="none"/>
        </w:rPr>
        <w:t>时代存储与控制分离，</w:t>
      </w:r>
      <w:r>
        <w:rPr>
          <w:rFonts w:cs="宋体"/>
          <w:color w:val="auto"/>
          <w:szCs w:val="24"/>
          <w:highlight w:val="none"/>
        </w:rPr>
        <w:t>MEC</w:t>
      </w:r>
      <w:r>
        <w:rPr>
          <w:rFonts w:cs="宋体" w:hint="eastAsia"/>
          <w:color w:val="auto"/>
          <w:szCs w:val="24"/>
          <w:highlight w:val="none"/>
        </w:rPr>
        <w:t>将下沉至网络边缘，实现其边缘计算能力，核心网云化将与数据中心互联，大型</w:t>
      </w:r>
      <w:r>
        <w:rPr>
          <w:rFonts w:cs="宋体"/>
          <w:color w:val="auto"/>
          <w:szCs w:val="24"/>
          <w:highlight w:val="none"/>
        </w:rPr>
        <w:t>DC</w:t>
      </w:r>
      <w:r>
        <w:rPr>
          <w:rFonts w:cs="宋体" w:hint="eastAsia"/>
          <w:color w:val="auto"/>
          <w:szCs w:val="24"/>
          <w:highlight w:val="none"/>
        </w:rPr>
        <w:t>作为</w:t>
      </w:r>
      <w:r>
        <w:rPr>
          <w:rFonts w:cs="宋体"/>
          <w:color w:val="auto"/>
          <w:szCs w:val="24"/>
          <w:highlight w:val="none"/>
        </w:rPr>
        <w:t>NewCore</w:t>
      </w:r>
      <w:r>
        <w:rPr>
          <w:rFonts w:cs="宋体" w:hint="eastAsia"/>
          <w:color w:val="auto"/>
          <w:szCs w:val="24"/>
          <w:highlight w:val="none"/>
        </w:rPr>
        <w:t>核心云网络载体，构成</w:t>
      </w:r>
      <w:r>
        <w:rPr>
          <w:rFonts w:cs="宋体"/>
          <w:color w:val="auto"/>
          <w:szCs w:val="24"/>
          <w:highlight w:val="none"/>
        </w:rPr>
        <w:t>DC</w:t>
      </w:r>
      <w:r>
        <w:rPr>
          <w:rFonts w:cs="宋体" w:hint="eastAsia"/>
          <w:color w:val="auto"/>
          <w:szCs w:val="24"/>
          <w:highlight w:val="none"/>
        </w:rPr>
        <w:t>网络的骨干核心，中小型</w:t>
      </w:r>
      <w:r>
        <w:rPr>
          <w:rFonts w:cs="宋体"/>
          <w:color w:val="auto"/>
          <w:szCs w:val="24"/>
          <w:highlight w:val="none"/>
        </w:rPr>
        <w:t>DC</w:t>
      </w:r>
      <w:r>
        <w:rPr>
          <w:rFonts w:cs="宋体" w:hint="eastAsia"/>
          <w:color w:val="auto"/>
          <w:szCs w:val="24"/>
          <w:highlight w:val="none"/>
        </w:rPr>
        <w:t>承担</w:t>
      </w:r>
      <w:r>
        <w:rPr>
          <w:rFonts w:cs="宋体"/>
          <w:color w:val="auto"/>
          <w:szCs w:val="24"/>
          <w:highlight w:val="none"/>
        </w:rPr>
        <w:t>MEC边缘</w:t>
      </w:r>
      <w:r>
        <w:rPr>
          <w:rFonts w:cs="宋体" w:hint="eastAsia"/>
          <w:color w:val="auto"/>
          <w:szCs w:val="24"/>
          <w:highlight w:val="none"/>
        </w:rPr>
        <w:t>云计算，</w:t>
      </w:r>
      <w:r>
        <w:rPr>
          <w:rFonts w:cs="宋体"/>
          <w:color w:val="auto"/>
          <w:szCs w:val="24"/>
          <w:highlight w:val="none"/>
        </w:rPr>
        <w:t>DU</w:t>
      </w:r>
      <w:r>
        <w:rPr>
          <w:rFonts w:cs="宋体" w:hint="eastAsia"/>
          <w:color w:val="auto"/>
          <w:szCs w:val="24"/>
          <w:highlight w:val="none"/>
        </w:rPr>
        <w:t>也将集中在本地</w:t>
      </w:r>
      <w:r>
        <w:rPr>
          <w:rFonts w:cs="宋体"/>
          <w:color w:val="auto"/>
          <w:szCs w:val="24"/>
          <w:highlight w:val="none"/>
        </w:rPr>
        <w:t>DC</w:t>
      </w:r>
      <w:r>
        <w:rPr>
          <w:rFonts w:cs="宋体" w:hint="eastAsia"/>
          <w:color w:val="auto"/>
          <w:szCs w:val="24"/>
          <w:highlight w:val="none"/>
        </w:rPr>
        <w:t>机房。</w:t>
      </w:r>
      <w:r>
        <w:rPr>
          <w:rFonts w:cs="宋体"/>
          <w:color w:val="auto"/>
          <w:szCs w:val="24"/>
          <w:highlight w:val="none"/>
        </w:rPr>
        <w:t>DC</w:t>
      </w:r>
      <w:r>
        <w:rPr>
          <w:rFonts w:cs="宋体" w:hint="eastAsia"/>
          <w:color w:val="auto"/>
          <w:szCs w:val="24"/>
          <w:highlight w:val="none"/>
        </w:rPr>
        <w:t>机房将会成为网络中心，这对通信机房及配套建设提出了更高的要求。因此，需要建设大量综合机房。同时随着</w:t>
      </w:r>
      <w:r>
        <w:rPr>
          <w:rFonts w:cs="宋体"/>
          <w:color w:val="auto"/>
          <w:szCs w:val="24"/>
          <w:highlight w:val="none"/>
        </w:rPr>
        <w:t>通信</w:t>
      </w:r>
      <w:r>
        <w:rPr>
          <w:rFonts w:cs="宋体" w:hint="eastAsia"/>
          <w:color w:val="auto"/>
          <w:szCs w:val="24"/>
          <w:highlight w:val="none"/>
        </w:rPr>
        <w:t>机房主设备及配套设备的增多，对市电引入等提出新的需求，如原有汇聚机房供电需求只需66</w:t>
      </w:r>
      <w:r>
        <w:rPr>
          <w:rFonts w:cs="宋体"/>
          <w:color w:val="auto"/>
          <w:szCs w:val="24"/>
          <w:highlight w:val="none"/>
        </w:rPr>
        <w:t>KW，</w:t>
      </w:r>
      <w:r>
        <w:rPr>
          <w:rFonts w:cs="宋体" w:hint="eastAsia"/>
          <w:color w:val="auto"/>
          <w:szCs w:val="24"/>
          <w:highlight w:val="none"/>
        </w:rPr>
        <w:t>但随着</w:t>
      </w:r>
      <w:r>
        <w:rPr>
          <w:rFonts w:cs="宋体"/>
          <w:color w:val="auto"/>
          <w:szCs w:val="24"/>
          <w:highlight w:val="none"/>
        </w:rPr>
        <w:t>5G</w:t>
      </w:r>
      <w:r>
        <w:rPr>
          <w:rFonts w:cs="宋体" w:hint="eastAsia"/>
          <w:color w:val="auto"/>
          <w:szCs w:val="24"/>
          <w:highlight w:val="none"/>
        </w:rPr>
        <w:t>建设的需求，汇聚机房供电需求是</w:t>
      </w:r>
      <w:r>
        <w:rPr>
          <w:rFonts w:cs="宋体"/>
          <w:color w:val="auto"/>
          <w:szCs w:val="24"/>
          <w:highlight w:val="none"/>
        </w:rPr>
        <w:t>99KW才能满足</w:t>
      </w:r>
      <w:r>
        <w:rPr>
          <w:rFonts w:cs="宋体" w:hint="eastAsia"/>
          <w:color w:val="auto"/>
          <w:szCs w:val="24"/>
          <w:highlight w:val="none"/>
        </w:rPr>
        <w:t>。</w:t>
      </w:r>
    </w:p>
    <w:p>
      <w:pPr>
        <w:pStyle w:val="Body"/>
        <w:spacing w:after="0" w:line="240" w:lineRule="auto"/>
        <w:ind w:right="0" w:firstLine="630" w:firstLineChars="300"/>
        <w:rPr>
          <w:rFonts w:cs="宋体"/>
          <w:color w:val="auto"/>
          <w:szCs w:val="24"/>
          <w:highlight w:val="none"/>
        </w:rPr>
      </w:pPr>
      <w:r>
        <w:rPr>
          <w:rFonts w:cs="宋体" w:hint="eastAsia"/>
          <w:color w:val="auto"/>
          <w:szCs w:val="24"/>
          <w:highlight w:val="none"/>
        </w:rPr>
        <w:t>随着5G网络、云网、DC、边缘计算的发展，各通信机房的服务器、数据网、传输网、移动设备不断增加，对电力要求越来越大，总能耗越来越高。</w:t>
      </w:r>
      <w:r>
        <w:rPr>
          <w:rFonts w:cs="宋体"/>
          <w:color w:val="auto"/>
          <w:szCs w:val="24"/>
          <w:highlight w:val="none"/>
        </w:rPr>
        <w:t>通信机房耗电呈增长趋势，数据中心的能耗增长将更加明显，根据经验，通信机房的能耗和机房内的机架及架上的设备紧密相关，而机架数量由和机房的面积相关。因此，在规划时，通信机房的能耗需求可以根据机房的类别和面积做简单的估算，作为</w:t>
      </w:r>
      <w:r>
        <w:rPr>
          <w:rFonts w:cs="宋体" w:hint="eastAsia"/>
          <w:color w:val="auto"/>
          <w:szCs w:val="24"/>
          <w:highlight w:val="none"/>
        </w:rPr>
        <w:t>申请市电额度的依据</w:t>
      </w:r>
      <w:r>
        <w:rPr>
          <w:rFonts w:cs="宋体"/>
          <w:color w:val="auto"/>
          <w:szCs w:val="24"/>
          <w:highlight w:val="none"/>
        </w:rPr>
        <w:t>。</w:t>
      </w:r>
    </w:p>
    <w:p>
      <w:pPr>
        <w:spacing w:line="240" w:lineRule="auto"/>
        <w:ind w:left="0" w:firstLine="309" w:firstLineChars="147"/>
        <w:rPr>
          <w:rFonts w:ascii="Times New Roman" w:eastAsia="宋体" w:hAnsi="Times New Roman"/>
          <w:bCs/>
          <w:color w:val="auto"/>
          <w:sz w:val="24"/>
          <w:szCs w:val="24"/>
          <w:highlight w:val="none"/>
        </w:rPr>
      </w:pPr>
      <w:r>
        <w:rPr>
          <w:rFonts w:ascii="Times New Roman" w:eastAsia="宋体" w:hAnsi="Times New Roman" w:hint="eastAsia"/>
          <w:bCs/>
          <w:color w:val="auto"/>
          <w:sz w:val="24"/>
          <w:szCs w:val="24"/>
          <w:highlight w:val="none"/>
        </w:rPr>
        <w:t>（2）重点机房市电引入要求</w:t>
      </w:r>
    </w:p>
    <w:p>
      <w:pPr>
        <w:pStyle w:val="Body"/>
        <w:spacing w:line="240" w:lineRule="auto"/>
        <w:ind w:right="0" w:firstLine="480"/>
        <w:rPr>
          <w:color w:val="auto"/>
          <w:highlight w:val="none"/>
        </w:rPr>
      </w:pPr>
      <w:r>
        <w:rPr>
          <w:rFonts w:cs="宋体" w:hint="eastAsia"/>
          <w:color w:val="auto"/>
          <w:szCs w:val="24"/>
          <w:highlight w:val="none"/>
        </w:rPr>
        <w:t>本期所建设重点机房主要分为以下四类：一</w:t>
      </w:r>
      <w:r>
        <w:rPr>
          <w:rFonts w:cs="宋体"/>
          <w:color w:val="auto"/>
          <w:szCs w:val="24"/>
          <w:highlight w:val="none"/>
        </w:rPr>
        <w:t>类重点机房承担省内核心网重要设备，完成省内业务收敛及处理。二类重点机房用于多个汇聚区域内业务收敛及处理、并承担核心网</w:t>
      </w:r>
      <w:r>
        <w:rPr>
          <w:rFonts w:cs="宋体" w:hint="eastAsia"/>
          <w:color w:val="auto"/>
          <w:szCs w:val="24"/>
          <w:highlight w:val="none"/>
          <w:lang w:val="en-US" w:eastAsia="zh-CN"/>
        </w:rPr>
        <w:t>数据面</w:t>
      </w:r>
      <w:r>
        <w:rPr>
          <w:rFonts w:cs="宋体"/>
          <w:color w:val="auto"/>
          <w:szCs w:val="24"/>
          <w:highlight w:val="none"/>
        </w:rPr>
        <w:t>设备，数据承载网BRAS，内容分发网CDN等，三类重点机房用于单个汇聚区域内业务收敛及处理，四类重点机房针对业务相对集中且距离三类重点机房较远区域，单独规划业务</w:t>
      </w:r>
      <w:r>
        <w:rPr>
          <w:rFonts w:cs="宋体" w:hint="eastAsia"/>
          <w:color w:val="auto"/>
          <w:szCs w:val="24"/>
          <w:highlight w:val="none"/>
        </w:rPr>
        <w:t>。</w:t>
      </w:r>
    </w:p>
    <w:p>
      <w:pPr>
        <w:pStyle w:val="Body"/>
        <w:spacing w:after="0" w:line="240" w:lineRule="auto"/>
        <w:ind w:right="0" w:firstLine="480"/>
        <w:rPr>
          <w:rFonts w:eastAsia="宋体" w:hint="eastAsia"/>
          <w:color w:val="auto"/>
          <w:highlight w:val="none"/>
          <w:lang w:eastAsia="zh-CN"/>
        </w:rPr>
      </w:pPr>
      <w:r>
        <w:rPr>
          <w:rFonts w:hint="eastAsia"/>
          <w:color w:val="auto"/>
          <w:highlight w:val="none"/>
        </w:rPr>
        <w:t>根据</w:t>
      </w:r>
      <w:r>
        <w:rPr>
          <w:rFonts w:cs="宋体" w:hint="eastAsia"/>
          <w:color w:val="auto"/>
          <w:szCs w:val="24"/>
          <w:highlight w:val="none"/>
        </w:rPr>
        <w:t>重点机房</w:t>
      </w:r>
      <w:r>
        <w:rPr>
          <w:rFonts w:hint="eastAsia"/>
          <w:color w:val="auto"/>
          <w:highlight w:val="none"/>
        </w:rPr>
        <w:t>所在地区的供电条件、线路引入方式及运行状态，将市电供电分为三类，市电供电划分条件应符合下列要求</w:t>
      </w:r>
      <w:r>
        <w:rPr>
          <w:rFonts w:hint="eastAsia"/>
          <w:color w:val="auto"/>
          <w:highlight w:val="none"/>
          <w:lang w:eastAsia="zh-CN"/>
        </w:rPr>
        <w:t>：</w:t>
      </w:r>
    </w:p>
    <w:p>
      <w:pPr>
        <w:pStyle w:val="Body"/>
        <w:spacing w:after="0" w:line="240" w:lineRule="auto"/>
        <w:ind w:right="0" w:firstLine="480"/>
        <w:rPr>
          <w:color w:val="auto"/>
          <w:highlight w:val="none"/>
        </w:rPr>
      </w:pPr>
      <w:r>
        <w:rPr>
          <w:rFonts w:hint="eastAsia"/>
          <w:color w:val="auto"/>
          <w:highlight w:val="none"/>
        </w:rPr>
        <w:t>一类市电供电为从两个稳定可靠的独立电源各自引入一路供电线。该两路不应同时出现检修停电，平均每月停电次数不应大于1次，平均每次故障时间不应大于0.5 小时。两路供电线宜配置备用市电电源自动投入装置。</w:t>
      </w:r>
    </w:p>
    <w:p>
      <w:pPr>
        <w:pStyle w:val="Body"/>
        <w:spacing w:after="0" w:line="240" w:lineRule="auto"/>
        <w:ind w:right="0" w:firstLine="480"/>
        <w:rPr>
          <w:rFonts w:eastAsia="宋体" w:hint="eastAsia"/>
          <w:color w:val="auto"/>
          <w:highlight w:val="none"/>
          <w:lang w:eastAsia="zh-CN"/>
        </w:rPr>
      </w:pPr>
      <w:r>
        <w:rPr>
          <w:rFonts w:hint="eastAsia"/>
          <w:color w:val="auto"/>
          <w:highlight w:val="none"/>
        </w:rPr>
        <w:t>二类市电供电线路允许有计划检修停电，平均每月停电次数不应大于3.5次，平均每次故障时间不应大于6小时。供电应符合下列条件之一的要求</w:t>
      </w:r>
      <w:r>
        <w:rPr>
          <w:rFonts w:hint="eastAsia"/>
          <w:color w:val="auto"/>
          <w:highlight w:val="none"/>
          <w:lang w:eastAsia="zh-CN"/>
        </w:rPr>
        <w:t>：</w:t>
      </w:r>
    </w:p>
    <w:p>
      <w:pPr>
        <w:pStyle w:val="Body"/>
        <w:spacing w:after="0" w:line="240" w:lineRule="auto"/>
        <w:ind w:right="0" w:firstLine="480"/>
        <w:rPr>
          <w:color w:val="auto"/>
          <w:highlight w:val="none"/>
        </w:rPr>
      </w:pPr>
      <w:r>
        <w:rPr>
          <w:rFonts w:hint="eastAsia"/>
          <w:color w:val="auto"/>
          <w:highlight w:val="none"/>
        </w:rPr>
        <w:t>1）由两个以上独立电源构成稳定可靠的环形网上引入一路供电。</w:t>
      </w:r>
    </w:p>
    <w:p>
      <w:pPr>
        <w:pStyle w:val="Body"/>
        <w:spacing w:after="0" w:line="240" w:lineRule="auto"/>
        <w:ind w:right="0" w:firstLine="480"/>
        <w:rPr>
          <w:color w:val="auto"/>
          <w:highlight w:val="none"/>
        </w:rPr>
      </w:pPr>
      <w:r>
        <w:rPr>
          <w:rFonts w:hint="eastAsia"/>
          <w:color w:val="auto"/>
          <w:highlight w:val="none"/>
        </w:rPr>
        <w:t>2）由一个稳定可靠的独立电源或从稳定可靠的输电线路上引入一路供电线。</w:t>
      </w:r>
    </w:p>
    <w:p>
      <w:pPr>
        <w:pStyle w:val="Body"/>
        <w:spacing w:after="0" w:line="240" w:lineRule="auto"/>
        <w:ind w:right="0" w:firstLine="480"/>
        <w:rPr>
          <w:color w:val="auto"/>
          <w:highlight w:val="none"/>
        </w:rPr>
      </w:pPr>
      <w:r>
        <w:rPr>
          <w:rFonts w:hint="eastAsia"/>
          <w:color w:val="auto"/>
          <w:highlight w:val="none"/>
        </w:rPr>
        <w:t>三类市电供电为从一个电源引入一路供电线，供电线路长、用户多、平均每月停电次数不应大于4.5次，平均每次故障时间不应大于8小时。</w:t>
      </w:r>
    </w:p>
    <w:p>
      <w:pPr>
        <w:pStyle w:val="Body"/>
        <w:spacing w:after="0" w:line="240" w:lineRule="auto"/>
        <w:ind w:right="0" w:firstLine="480"/>
        <w:rPr>
          <w:color w:val="auto"/>
          <w:highlight w:val="none"/>
        </w:rPr>
      </w:pPr>
      <w:r>
        <w:rPr>
          <w:rFonts w:hint="eastAsia"/>
          <w:color w:val="auto"/>
          <w:highlight w:val="none"/>
        </w:rPr>
        <w:t>一类重点机房原则上采用一类市电供电，专用变压器应采用N+1配置，即多套主用变压器</w:t>
      </w:r>
      <w:r>
        <w:rPr>
          <w:rFonts w:hint="eastAsia"/>
          <w:color w:val="auto"/>
          <w:highlight w:val="none"/>
          <w:lang w:eastAsia="zh-CN"/>
        </w:rPr>
        <w:t>（</w:t>
      </w:r>
      <w:r>
        <w:rPr>
          <w:rFonts w:hint="eastAsia"/>
          <w:color w:val="auto"/>
          <w:highlight w:val="none"/>
        </w:rPr>
        <w:t>含低压系统</w:t>
      </w:r>
      <w:r>
        <w:rPr>
          <w:rFonts w:hint="eastAsia"/>
          <w:color w:val="auto"/>
          <w:highlight w:val="none"/>
          <w:lang w:eastAsia="zh-CN"/>
        </w:rPr>
        <w:t>）</w:t>
      </w:r>
      <w:r>
        <w:rPr>
          <w:rFonts w:hint="eastAsia"/>
          <w:color w:val="auto"/>
          <w:highlight w:val="none"/>
        </w:rPr>
        <w:t>共用一套备用低压系统，当一套系统故障时，其余系统可满足所有负载。一类重点机房需设置固定柴油发电机组，柴油发电机组按N配置，即不设置冗余发电机组，发电机组总容量即为负荷容量。</w:t>
      </w:r>
    </w:p>
    <w:p>
      <w:pPr>
        <w:pStyle w:val="Body"/>
        <w:spacing w:after="0" w:line="240" w:lineRule="auto"/>
        <w:ind w:right="0" w:firstLine="480"/>
        <w:rPr>
          <w:color w:val="auto"/>
          <w:highlight w:val="none"/>
        </w:rPr>
      </w:pPr>
      <w:r>
        <w:rPr>
          <w:rFonts w:hint="eastAsia"/>
          <w:color w:val="auto"/>
          <w:highlight w:val="none"/>
        </w:rPr>
        <w:t>二类重点机房原则上采用二类市电供电，但当具备外电条件且投资增加不大时可考虑一类市电引入。专用变压器应采用N+1配置，即多套主用变压器</w:t>
      </w:r>
      <w:r>
        <w:rPr>
          <w:rFonts w:hint="eastAsia"/>
          <w:color w:val="auto"/>
          <w:highlight w:val="none"/>
          <w:lang w:eastAsia="zh-CN"/>
        </w:rPr>
        <w:t>（</w:t>
      </w:r>
      <w:r>
        <w:rPr>
          <w:rFonts w:hint="eastAsia"/>
          <w:color w:val="auto"/>
          <w:highlight w:val="none"/>
        </w:rPr>
        <w:t>含低压系统</w:t>
      </w:r>
      <w:r>
        <w:rPr>
          <w:rFonts w:hint="eastAsia"/>
          <w:color w:val="auto"/>
          <w:highlight w:val="none"/>
          <w:lang w:eastAsia="zh-CN"/>
        </w:rPr>
        <w:t>）</w:t>
      </w:r>
      <w:r>
        <w:rPr>
          <w:rFonts w:hint="eastAsia"/>
          <w:color w:val="auto"/>
          <w:highlight w:val="none"/>
        </w:rPr>
        <w:t>共用一套备用低压系统，当一套系统故障时，其余系统可满足所有负载。一类重点机房需设置固定柴油发电机组，柴油发电机组按N配置，即不设置冗余发电机组，发电机组总容量即为负荷容量。</w:t>
      </w:r>
    </w:p>
    <w:p>
      <w:pPr>
        <w:pStyle w:val="Body"/>
        <w:spacing w:after="0" w:line="240" w:lineRule="auto"/>
        <w:ind w:right="0" w:firstLine="480"/>
        <w:rPr>
          <w:color w:val="auto"/>
          <w:highlight w:val="none"/>
        </w:rPr>
      </w:pPr>
      <w:r>
        <w:rPr>
          <w:rFonts w:hint="eastAsia"/>
          <w:color w:val="auto"/>
          <w:highlight w:val="none"/>
        </w:rPr>
        <w:t>三类重点机房、四类重点机房具备条件时引入二类市电，不具备条件时引入三类市电。三类机房变压器可采用N配置，当变压器检修或故障时，由</w:t>
      </w:r>
      <w:r>
        <w:rPr>
          <w:rFonts w:hint="eastAsia"/>
          <w:color w:val="auto"/>
          <w:highlight w:val="none"/>
          <w:lang w:val="en-US" w:eastAsia="zh-CN"/>
        </w:rPr>
        <w:t>备用</w:t>
      </w:r>
      <w:r>
        <w:rPr>
          <w:rFonts w:hint="eastAsia"/>
          <w:color w:val="auto"/>
          <w:highlight w:val="none"/>
        </w:rPr>
        <w:t>的变压器或应急柴油发电机供电。</w:t>
      </w:r>
    </w:p>
    <w:p>
      <w:pPr>
        <w:pStyle w:val="Body"/>
        <w:spacing w:after="0" w:line="240" w:lineRule="auto"/>
        <w:ind w:right="0" w:firstLine="480"/>
        <w:rPr>
          <w:color w:val="auto"/>
          <w:highlight w:val="none"/>
        </w:rPr>
      </w:pPr>
      <w:r>
        <w:rPr>
          <w:rFonts w:hint="eastAsia"/>
          <w:color w:val="auto"/>
          <w:highlight w:val="none"/>
        </w:rPr>
        <w:t>三类重点机房、四类重点机房不具备专用变压器建设条件时，可考虑以下市电引入方式：</w:t>
      </w:r>
    </w:p>
    <w:p>
      <w:pPr>
        <w:pStyle w:val="Body"/>
        <w:spacing w:after="0" w:line="240" w:lineRule="auto"/>
        <w:ind w:right="0" w:firstLine="480"/>
        <w:rPr>
          <w:color w:val="auto"/>
          <w:highlight w:val="none"/>
        </w:rPr>
      </w:pPr>
      <w:r>
        <w:rPr>
          <w:rFonts w:hint="eastAsia"/>
          <w:color w:val="auto"/>
          <w:highlight w:val="none"/>
        </w:rPr>
        <w:t>1）从公用变压器引入1路380V市电；</w:t>
      </w:r>
    </w:p>
    <w:p>
      <w:pPr>
        <w:pStyle w:val="Body"/>
        <w:spacing w:after="0" w:line="240" w:lineRule="auto"/>
        <w:ind w:right="0" w:firstLine="480"/>
        <w:rPr>
          <w:color w:val="auto"/>
          <w:highlight w:val="none"/>
        </w:rPr>
      </w:pPr>
      <w:r>
        <w:rPr>
          <w:rFonts w:hint="eastAsia"/>
          <w:color w:val="auto"/>
          <w:highlight w:val="none"/>
        </w:rPr>
        <w:t>2）当重点机房所在居民小区设置有专用变压器时，可从小区专用变压器引入1路380V市电。</w:t>
      </w:r>
    </w:p>
    <w:p>
      <w:pPr>
        <w:pStyle w:val="Body"/>
        <w:spacing w:after="0" w:line="240" w:lineRule="auto"/>
        <w:ind w:right="0" w:firstLine="480"/>
        <w:rPr>
          <w:color w:val="auto"/>
          <w:highlight w:val="none"/>
        </w:rPr>
      </w:pPr>
      <w:r>
        <w:rPr>
          <w:rFonts w:hint="eastAsia"/>
          <w:color w:val="auto"/>
          <w:highlight w:val="none"/>
        </w:rPr>
        <w:t>采用上述市电引入方式时，为了保证满足5G建设需求及机房未来发展需求，市电引入容量应不少于60kVA。</w:t>
      </w:r>
    </w:p>
    <w:p>
      <w:pPr>
        <w:pStyle w:val="Body"/>
        <w:spacing w:after="0" w:line="240" w:lineRule="auto"/>
        <w:ind w:right="0" w:firstLine="480"/>
        <w:rPr>
          <w:color w:val="auto"/>
          <w:highlight w:val="none"/>
        </w:rPr>
      </w:pPr>
      <w:r>
        <w:rPr>
          <w:rFonts w:hint="eastAsia"/>
          <w:color w:val="auto"/>
          <w:highlight w:val="none"/>
        </w:rPr>
        <w:t>三类重点机房、四类重点机房可不设置固定柴油发电机，但应配置应急车载发电机组，并预留车载发电机接口。</w:t>
      </w:r>
    </w:p>
    <w:p>
      <w:pPr>
        <w:pStyle w:val="NormalIndent"/>
        <w:rPr>
          <w:rFonts w:ascii="Times New Roman" w:eastAsia="宋体" w:hAnsi="Times New Roman"/>
          <w:color w:val="auto"/>
          <w:highlight w:val="none"/>
        </w:rPr>
      </w:pPr>
    </w:p>
    <w:p>
      <w:pPr>
        <w:rPr>
          <w:color w:val="auto"/>
          <w:highlight w:val="none"/>
        </w:rPr>
      </w:pPr>
      <w:r>
        <w:rPr>
          <w:color w:val="auto"/>
          <w:highlight w:val="none"/>
        </w:rPr>
        <w:br w:type="page"/>
      </w:r>
    </w:p>
    <w:p>
      <w:pPr>
        <w:pStyle w:val="Heading2"/>
        <w:spacing w:before="260" w:after="260" w:line="240" w:lineRule="auto"/>
        <w:ind w:left="0" w:firstLine="643"/>
        <w:rPr>
          <w:rFonts w:ascii="Times New Roman" w:eastAsia="宋体" w:hAnsi="Times New Roman" w:hint="eastAsia"/>
          <w:color w:val="auto"/>
          <w:sz w:val="32"/>
          <w:szCs w:val="32"/>
          <w:highlight w:val="none"/>
        </w:rPr>
      </w:pPr>
      <w:bookmarkStart w:id="73" w:name="_Toc27229"/>
      <w:r>
        <w:rPr>
          <w:rFonts w:ascii="Times New Roman" w:eastAsia="宋体" w:hAnsi="Times New Roman" w:hint="eastAsia"/>
          <w:color w:val="auto"/>
          <w:sz w:val="32"/>
          <w:szCs w:val="32"/>
          <w:highlight w:val="none"/>
          <w:lang w:val="en-US" w:eastAsia="zh-CN"/>
        </w:rPr>
        <w:t xml:space="preserve">第十三章 </w:t>
      </w:r>
      <w:r>
        <w:rPr>
          <w:rFonts w:ascii="Times New Roman" w:eastAsia="宋体" w:hAnsi="Times New Roman" w:hint="eastAsia"/>
          <w:color w:val="auto"/>
          <w:sz w:val="32"/>
          <w:szCs w:val="32"/>
          <w:highlight w:val="none"/>
        </w:rPr>
        <w:t>投资估算</w:t>
      </w:r>
      <w:bookmarkEnd w:id="73"/>
    </w:p>
    <w:p>
      <w:pPr>
        <w:pStyle w:val="Heading3"/>
        <w:spacing w:line="240" w:lineRule="auto"/>
        <w:ind w:left="0" w:firstLine="482"/>
        <w:rPr>
          <w:rFonts w:ascii="Times New Roman" w:eastAsia="宋体" w:hAnsi="Times New Roman" w:cstheme="majorEastAsia" w:hint="eastAsia"/>
          <w:color w:val="auto"/>
          <w:sz w:val="24"/>
          <w:szCs w:val="24"/>
          <w:highlight w:val="none"/>
        </w:rPr>
      </w:pPr>
      <w:bookmarkStart w:id="74" w:name="_Toc17673"/>
      <w:r>
        <w:rPr>
          <w:rFonts w:ascii="Times New Roman" w:eastAsia="宋体" w:hAnsi="Times New Roman" w:cstheme="majorEastAsia" w:hint="eastAsia"/>
          <w:color w:val="auto"/>
          <w:sz w:val="24"/>
          <w:szCs w:val="24"/>
          <w:highlight w:val="none"/>
          <w:lang w:val="en-US" w:eastAsia="zh-CN"/>
        </w:rPr>
        <w:t>一、</w:t>
      </w:r>
      <w:r>
        <w:rPr>
          <w:rFonts w:ascii="Times New Roman" w:eastAsia="宋体" w:hAnsi="Times New Roman" w:cstheme="majorEastAsia" w:hint="eastAsia"/>
          <w:color w:val="auto"/>
          <w:sz w:val="24"/>
          <w:szCs w:val="24"/>
          <w:highlight w:val="none"/>
        </w:rPr>
        <w:t>估算依据</w:t>
      </w:r>
      <w:bookmarkEnd w:id="74"/>
    </w:p>
    <w:p>
      <w:pPr>
        <w:pStyle w:val="10"/>
        <w:numPr>
          <w:ilvl w:val="0"/>
          <w:numId w:val="5"/>
        </w:numPr>
        <w:spacing w:before="0" w:beforeAutospacing="0" w:after="0" w:afterAutospacing="0" w:line="360" w:lineRule="auto"/>
        <w:ind w:left="900" w:hanging="420" w:leftChars="0" w:firstLineChars="0"/>
        <w:jc w:val="left"/>
        <w:rPr>
          <w:rFonts w:ascii="宋体" w:hAnsi="宋体"/>
          <w:color w:val="auto"/>
          <w:sz w:val="24"/>
          <w:szCs w:val="24"/>
          <w:highlight w:val="none"/>
        </w:rPr>
      </w:pPr>
      <w:r>
        <w:rPr>
          <w:rFonts w:ascii="宋体" w:hAnsi="宋体" w:hint="eastAsia"/>
          <w:color w:val="auto"/>
          <w:sz w:val="24"/>
          <w:szCs w:val="24"/>
          <w:highlight w:val="none"/>
        </w:rPr>
        <w:t>原邮电部，《邮电通信建设项目经济评价方法与参数》；</w:t>
      </w:r>
    </w:p>
    <w:p>
      <w:pPr>
        <w:pStyle w:val="10"/>
        <w:numPr>
          <w:ilvl w:val="0"/>
          <w:numId w:val="5"/>
        </w:numPr>
        <w:spacing w:before="0" w:beforeAutospacing="0" w:after="0" w:afterAutospacing="0" w:line="360" w:lineRule="auto"/>
        <w:ind w:left="900" w:hanging="420" w:leftChars="0" w:firstLineChars="0"/>
        <w:jc w:val="left"/>
        <w:rPr>
          <w:rFonts w:ascii="宋体" w:hAnsi="宋体"/>
          <w:color w:val="auto"/>
          <w:sz w:val="24"/>
          <w:szCs w:val="24"/>
          <w:highlight w:val="none"/>
        </w:rPr>
      </w:pPr>
      <w:r>
        <w:rPr>
          <w:rFonts w:ascii="宋体" w:hAnsi="宋体" w:hint="eastAsia"/>
          <w:color w:val="auto"/>
          <w:sz w:val="24"/>
          <w:szCs w:val="24"/>
          <w:highlight w:val="none"/>
        </w:rPr>
        <w:t>工信部通信【2016】451号《工业和信息化部关于印发信息通信建设工程预算定额、工程费用定额及工程概预算编制规程的通知》；</w:t>
      </w:r>
    </w:p>
    <w:p>
      <w:pPr>
        <w:pStyle w:val="10"/>
        <w:numPr>
          <w:ilvl w:val="0"/>
          <w:numId w:val="5"/>
        </w:numPr>
        <w:spacing w:before="0" w:beforeAutospacing="0" w:after="0" w:afterAutospacing="0" w:line="360" w:lineRule="auto"/>
        <w:ind w:left="900" w:hanging="420" w:leftChars="0" w:firstLineChars="0"/>
        <w:jc w:val="left"/>
        <w:rPr>
          <w:rFonts w:ascii="宋体" w:hAnsi="宋体"/>
          <w:color w:val="auto"/>
          <w:sz w:val="24"/>
          <w:szCs w:val="24"/>
          <w:highlight w:val="none"/>
        </w:rPr>
      </w:pPr>
      <w:r>
        <w:rPr>
          <w:rFonts w:ascii="宋体" w:hAnsi="宋体" w:hint="eastAsia"/>
          <w:color w:val="auto"/>
          <w:sz w:val="24"/>
          <w:szCs w:val="24"/>
          <w:highlight w:val="none"/>
        </w:rPr>
        <w:t>2017年5月1日起施行的《信息通信建设工程费用定额》、《信息通信建</w:t>
      </w:r>
      <w:r>
        <w:rPr>
          <w:rFonts w:ascii="宋体" w:hAnsi="宋体" w:hint="eastAsia"/>
          <w:color w:val="auto"/>
          <w:sz w:val="24"/>
          <w:szCs w:val="24"/>
          <w:highlight w:val="none"/>
          <w:lang w:val="en-US" w:eastAsia="zh-CN"/>
        </w:rPr>
        <w:t>设</w:t>
      </w:r>
      <w:r>
        <w:rPr>
          <w:rFonts w:ascii="宋体" w:hAnsi="宋体" w:hint="eastAsia"/>
          <w:color w:val="auto"/>
          <w:sz w:val="24"/>
          <w:szCs w:val="24"/>
          <w:highlight w:val="none"/>
        </w:rPr>
        <w:t>工程概预算编制规程》、《信息通信建设工程预算定额》（共五册）；</w:t>
      </w:r>
    </w:p>
    <w:p>
      <w:pPr>
        <w:pStyle w:val="10"/>
        <w:numPr>
          <w:ilvl w:val="0"/>
          <w:numId w:val="5"/>
        </w:numPr>
        <w:spacing w:before="0" w:beforeAutospacing="0" w:after="0" w:afterAutospacing="0" w:line="360" w:lineRule="auto"/>
        <w:ind w:left="900" w:hanging="420" w:leftChars="0" w:firstLineChars="0"/>
        <w:jc w:val="left"/>
        <w:rPr>
          <w:rFonts w:ascii="宋体" w:hAnsi="宋体"/>
          <w:color w:val="auto"/>
          <w:sz w:val="24"/>
          <w:szCs w:val="24"/>
          <w:highlight w:val="none"/>
        </w:rPr>
      </w:pPr>
      <w:r>
        <w:rPr>
          <w:rFonts w:ascii="宋体" w:hAnsi="宋体" w:hint="eastAsia"/>
          <w:color w:val="auto"/>
          <w:sz w:val="24"/>
          <w:szCs w:val="24"/>
          <w:highlight w:val="none"/>
        </w:rPr>
        <w:t>财政部、国家发改委《关于公布取消和停止征收100项行政事业性收费项目的通知》（财综〔2008〕78号）；</w:t>
      </w:r>
    </w:p>
    <w:p>
      <w:pPr>
        <w:pStyle w:val="10"/>
        <w:numPr>
          <w:ilvl w:val="0"/>
          <w:numId w:val="5"/>
        </w:numPr>
        <w:spacing w:before="0" w:beforeAutospacing="0" w:after="0" w:afterAutospacing="0" w:line="360" w:lineRule="auto"/>
        <w:ind w:left="900" w:hanging="420" w:leftChars="0" w:firstLineChars="0"/>
        <w:jc w:val="left"/>
        <w:rPr>
          <w:rFonts w:ascii="宋体" w:hAnsi="宋体"/>
          <w:color w:val="auto"/>
          <w:sz w:val="24"/>
          <w:szCs w:val="24"/>
          <w:highlight w:val="none"/>
        </w:rPr>
      </w:pPr>
      <w:r>
        <w:rPr>
          <w:rFonts w:ascii="宋体" w:hAnsi="宋体" w:hint="eastAsia"/>
          <w:color w:val="auto"/>
          <w:sz w:val="24"/>
          <w:szCs w:val="24"/>
          <w:highlight w:val="none"/>
        </w:rPr>
        <w:t>工信部发布的关于《无源光网络（PON）等通信建设工程》补充定额（工信部通[2011]426号）；</w:t>
      </w:r>
    </w:p>
    <w:p>
      <w:pPr>
        <w:pStyle w:val="10"/>
        <w:numPr>
          <w:ilvl w:val="0"/>
          <w:numId w:val="5"/>
        </w:numPr>
        <w:spacing w:before="0" w:beforeAutospacing="0" w:after="0" w:afterAutospacing="0" w:line="360" w:lineRule="auto"/>
        <w:ind w:left="900" w:hanging="420" w:leftChars="0" w:firstLineChars="0"/>
        <w:jc w:val="left"/>
        <w:rPr>
          <w:rFonts w:ascii="宋体" w:hAnsi="宋体"/>
          <w:color w:val="auto"/>
          <w:sz w:val="24"/>
          <w:szCs w:val="24"/>
          <w:highlight w:val="none"/>
        </w:rPr>
      </w:pPr>
      <w:r>
        <w:rPr>
          <w:rFonts w:ascii="宋体" w:hAnsi="宋体" w:hint="eastAsia"/>
          <w:color w:val="auto"/>
          <w:sz w:val="24"/>
          <w:szCs w:val="24"/>
          <w:highlight w:val="none"/>
        </w:rPr>
        <w:t>《国家发展改革委关于放开部分建设项目服务收费标准有关问题的通知》（发改价格[2014]1573号）；</w:t>
      </w:r>
    </w:p>
    <w:p>
      <w:pPr>
        <w:pStyle w:val="10"/>
        <w:numPr>
          <w:ilvl w:val="0"/>
          <w:numId w:val="5"/>
        </w:numPr>
        <w:spacing w:before="0" w:beforeAutospacing="0" w:after="0" w:afterAutospacing="0" w:line="360" w:lineRule="auto"/>
        <w:ind w:left="900" w:hanging="420" w:leftChars="0" w:firstLineChars="0"/>
        <w:jc w:val="left"/>
        <w:rPr>
          <w:rFonts w:ascii="宋体" w:hAnsi="宋体"/>
          <w:color w:val="auto"/>
          <w:sz w:val="24"/>
          <w:szCs w:val="24"/>
          <w:highlight w:val="none"/>
        </w:rPr>
      </w:pPr>
      <w:r>
        <w:rPr>
          <w:rFonts w:ascii="宋体" w:hAnsi="宋体" w:hint="eastAsia"/>
          <w:color w:val="auto"/>
          <w:sz w:val="24"/>
          <w:szCs w:val="24"/>
          <w:highlight w:val="none"/>
        </w:rPr>
        <w:t>项目建设管理费参见《关于印发《基本建设项目建设成本管理规定》的通知》财建[2016]504号；</w:t>
      </w:r>
    </w:p>
    <w:p>
      <w:pPr>
        <w:pStyle w:val="10"/>
        <w:numPr>
          <w:ilvl w:val="0"/>
          <w:numId w:val="5"/>
        </w:numPr>
        <w:spacing w:before="0" w:beforeAutospacing="0" w:after="0" w:afterAutospacing="0" w:line="360" w:lineRule="auto"/>
        <w:ind w:left="900" w:hanging="420" w:leftChars="0" w:firstLineChars="0"/>
        <w:jc w:val="left"/>
        <w:rPr>
          <w:rFonts w:ascii="宋体" w:hAnsi="宋体"/>
          <w:color w:val="auto"/>
          <w:sz w:val="24"/>
          <w:szCs w:val="24"/>
          <w:highlight w:val="none"/>
        </w:rPr>
      </w:pPr>
      <w:r>
        <w:rPr>
          <w:rFonts w:ascii="宋体" w:hAnsi="宋体" w:hint="eastAsia"/>
          <w:color w:val="auto"/>
          <w:sz w:val="24"/>
          <w:szCs w:val="24"/>
          <w:highlight w:val="none"/>
        </w:rPr>
        <w:t>财会【2002】17号，《电信企业会计核算办法》，2002年9月22日；</w:t>
      </w:r>
    </w:p>
    <w:p>
      <w:pPr>
        <w:pStyle w:val="10"/>
        <w:numPr>
          <w:ilvl w:val="0"/>
          <w:numId w:val="5"/>
        </w:numPr>
        <w:spacing w:before="0" w:beforeAutospacing="0" w:after="0" w:afterAutospacing="0" w:line="360" w:lineRule="auto"/>
        <w:ind w:left="900" w:hanging="420" w:leftChars="0" w:firstLineChars="0"/>
        <w:jc w:val="left"/>
        <w:rPr>
          <w:rFonts w:ascii="宋体" w:hAnsi="宋体"/>
          <w:color w:val="auto"/>
          <w:sz w:val="24"/>
          <w:szCs w:val="24"/>
          <w:highlight w:val="none"/>
        </w:rPr>
      </w:pPr>
      <w:r>
        <w:rPr>
          <w:rFonts w:ascii="宋体" w:hAnsi="宋体" w:hint="eastAsia"/>
          <w:color w:val="auto"/>
          <w:sz w:val="24"/>
          <w:szCs w:val="24"/>
          <w:highlight w:val="none"/>
        </w:rPr>
        <w:t>建设单位提供的前期工程设备材料合同价格及5G设备询价结果；</w:t>
      </w:r>
    </w:p>
    <w:p>
      <w:pPr>
        <w:pStyle w:val="10"/>
        <w:numPr>
          <w:ilvl w:val="0"/>
          <w:numId w:val="5"/>
        </w:numPr>
        <w:spacing w:before="0" w:beforeAutospacing="0" w:after="0" w:afterAutospacing="0" w:line="360" w:lineRule="auto"/>
        <w:ind w:left="900" w:hanging="420" w:leftChars="0" w:firstLineChars="0"/>
        <w:jc w:val="left"/>
        <w:rPr>
          <w:rFonts w:ascii="宋体" w:hAnsi="宋体"/>
          <w:color w:val="auto"/>
          <w:sz w:val="24"/>
          <w:szCs w:val="24"/>
          <w:highlight w:val="none"/>
        </w:rPr>
      </w:pPr>
      <w:r>
        <w:rPr>
          <w:rFonts w:ascii="宋体" w:hAnsi="宋体" w:hint="eastAsia"/>
          <w:color w:val="auto"/>
          <w:sz w:val="24"/>
          <w:szCs w:val="24"/>
          <w:highlight w:val="none"/>
        </w:rPr>
        <w:t>国家现行的财税制度；</w:t>
      </w:r>
    </w:p>
    <w:p>
      <w:pPr>
        <w:pStyle w:val="10"/>
        <w:numPr>
          <w:ilvl w:val="0"/>
          <w:numId w:val="5"/>
        </w:numPr>
        <w:spacing w:before="0" w:beforeAutospacing="0" w:after="0" w:afterAutospacing="0" w:line="360" w:lineRule="auto"/>
        <w:ind w:left="900" w:hanging="420" w:leftChars="0" w:firstLineChars="0"/>
        <w:jc w:val="left"/>
        <w:rPr>
          <w:rFonts w:ascii="宋体" w:hAnsi="宋体"/>
          <w:color w:val="auto"/>
          <w:sz w:val="24"/>
          <w:szCs w:val="24"/>
          <w:highlight w:val="none"/>
        </w:rPr>
      </w:pPr>
      <w:r>
        <w:rPr>
          <w:rFonts w:ascii="宋体" w:hAnsi="宋体" w:hint="eastAsia"/>
          <w:color w:val="auto"/>
          <w:sz w:val="24"/>
          <w:szCs w:val="24"/>
          <w:highlight w:val="none"/>
        </w:rPr>
        <w:t>本项目所在地物价水平、物价指数与所在地政府相关规定。</w:t>
      </w:r>
    </w:p>
    <w:p>
      <w:pPr>
        <w:pStyle w:val="Heading3"/>
        <w:spacing w:line="240" w:lineRule="auto"/>
        <w:ind w:left="0" w:firstLine="482"/>
        <w:rPr>
          <w:rFonts w:ascii="Times New Roman" w:eastAsia="宋体" w:hAnsi="Times New Roman" w:cstheme="majorEastAsia" w:hint="eastAsia"/>
          <w:color w:val="auto"/>
          <w:sz w:val="24"/>
          <w:szCs w:val="24"/>
          <w:highlight w:val="none"/>
        </w:rPr>
      </w:pPr>
      <w:bookmarkStart w:id="75" w:name="_Toc7822"/>
      <w:r>
        <w:rPr>
          <w:rFonts w:ascii="Times New Roman" w:eastAsia="宋体" w:hAnsi="Times New Roman" w:cstheme="majorEastAsia" w:hint="eastAsia"/>
          <w:color w:val="auto"/>
          <w:sz w:val="24"/>
          <w:szCs w:val="24"/>
          <w:highlight w:val="none"/>
          <w:lang w:val="en-US" w:eastAsia="zh-CN"/>
        </w:rPr>
        <w:t>二、</w:t>
      </w:r>
      <w:r>
        <w:rPr>
          <w:rFonts w:ascii="Times New Roman" w:eastAsia="宋体" w:hAnsi="Times New Roman" w:cstheme="majorEastAsia" w:hint="eastAsia"/>
          <w:color w:val="auto"/>
          <w:sz w:val="24"/>
          <w:szCs w:val="24"/>
          <w:highlight w:val="none"/>
        </w:rPr>
        <w:t>资金来源</w:t>
      </w:r>
      <w:bookmarkEnd w:id="75"/>
      <w:r>
        <w:rPr>
          <w:rFonts w:ascii="Times New Roman" w:eastAsia="宋体" w:hAnsi="Times New Roman" w:cstheme="majorEastAsia" w:hint="eastAsia"/>
          <w:color w:val="auto"/>
          <w:sz w:val="24"/>
          <w:szCs w:val="24"/>
          <w:highlight w:val="none"/>
        </w:rPr>
        <w:tab/>
      </w:r>
    </w:p>
    <w:p>
      <w:pPr>
        <w:ind w:left="0" w:firstLine="840" w:firstLineChars="400"/>
        <w:rPr>
          <w:rFonts w:ascii="宋体" w:hAnsi="宋体"/>
          <w:color w:val="auto"/>
          <w:sz w:val="24"/>
          <w:szCs w:val="24"/>
          <w:highlight w:val="none"/>
        </w:rPr>
      </w:pPr>
      <w:r>
        <w:rPr>
          <w:rFonts w:ascii="宋体" w:hAnsi="宋体" w:hint="eastAsia"/>
          <w:color w:val="auto"/>
          <w:sz w:val="24"/>
          <w:szCs w:val="24"/>
          <w:highlight w:val="none"/>
        </w:rPr>
        <w:t>5G基础设施投资主要由电信运营企业自筹资金。</w:t>
      </w:r>
    </w:p>
    <w:p>
      <w:pPr>
        <w:pStyle w:val="Heading3"/>
        <w:spacing w:line="240" w:lineRule="auto"/>
        <w:ind w:left="0" w:firstLine="482"/>
        <w:rPr>
          <w:rFonts w:ascii="Times New Roman" w:eastAsia="宋体" w:hAnsi="Times New Roman" w:cstheme="majorEastAsia" w:hint="eastAsia"/>
          <w:color w:val="auto"/>
          <w:sz w:val="24"/>
          <w:szCs w:val="24"/>
          <w:highlight w:val="none"/>
          <w:lang w:val="en-US" w:eastAsia="zh-CN"/>
        </w:rPr>
      </w:pPr>
      <w:bookmarkStart w:id="76" w:name="_Toc21394"/>
      <w:r>
        <w:rPr>
          <w:rFonts w:ascii="Times New Roman" w:eastAsia="宋体" w:hAnsi="Times New Roman" w:cstheme="majorEastAsia" w:hint="eastAsia"/>
          <w:color w:val="auto"/>
          <w:sz w:val="24"/>
          <w:szCs w:val="24"/>
          <w:highlight w:val="none"/>
          <w:lang w:val="en-US" w:eastAsia="zh-CN"/>
        </w:rPr>
        <w:t>三、投资估算及汇总</w:t>
      </w:r>
      <w:bookmarkEnd w:id="76"/>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lang w:val="en-US" w:eastAsia="zh-CN"/>
        </w:rPr>
        <w:t>1、</w:t>
      </w:r>
      <w:r>
        <w:rPr>
          <w:rFonts w:ascii="Times New Roman" w:eastAsia="宋体" w:hAnsi="Times New Roman" w:hint="eastAsia"/>
          <w:color w:val="auto"/>
          <w:sz w:val="24"/>
          <w:highlight w:val="none"/>
        </w:rPr>
        <w:t>宏站投资估算</w:t>
      </w:r>
    </w:p>
    <w:p>
      <w:pPr>
        <w:pStyle w:val="Body"/>
        <w:spacing w:after="0" w:line="240" w:lineRule="auto"/>
        <w:ind w:right="0" w:firstLine="480"/>
        <w:rPr>
          <w:rFonts w:hint="eastAsia"/>
          <w:color w:val="auto"/>
          <w:highlight w:val="none"/>
        </w:rPr>
      </w:pPr>
      <w:r>
        <w:rPr>
          <w:rFonts w:hint="eastAsia"/>
          <w:color w:val="auto"/>
          <w:highlight w:val="none"/>
        </w:rPr>
        <w:t>玉林市宏站目标网（2021-2035年）总投资为358605.74万元；其中，近期规划（2021-2025年）投资为90866.42万元；中期规划（2026-2030年）投资为1</w:t>
      </w:r>
      <w:r>
        <w:rPr>
          <w:rFonts w:hint="eastAsia"/>
          <w:color w:val="auto"/>
          <w:highlight w:val="none"/>
          <w:lang w:val="en-US" w:eastAsia="zh-CN"/>
        </w:rPr>
        <w:t>58022</w:t>
      </w:r>
      <w:r>
        <w:rPr>
          <w:rFonts w:hint="eastAsia"/>
          <w:color w:val="auto"/>
          <w:highlight w:val="none"/>
        </w:rPr>
        <w:t>.</w:t>
      </w:r>
      <w:r>
        <w:rPr>
          <w:rFonts w:hint="eastAsia"/>
          <w:color w:val="auto"/>
          <w:highlight w:val="none"/>
          <w:lang w:val="en-US" w:eastAsia="zh-CN"/>
        </w:rPr>
        <w:t>62</w:t>
      </w:r>
      <w:r>
        <w:rPr>
          <w:rFonts w:hint="eastAsia"/>
          <w:color w:val="auto"/>
          <w:highlight w:val="none"/>
        </w:rPr>
        <w:t>万元；远期规划（2031-2035年）投资为10</w:t>
      </w:r>
      <w:r>
        <w:rPr>
          <w:rFonts w:hint="eastAsia"/>
          <w:color w:val="auto"/>
          <w:highlight w:val="none"/>
          <w:lang w:val="en-US" w:eastAsia="zh-CN"/>
        </w:rPr>
        <w:t>9716.70</w:t>
      </w:r>
      <w:r>
        <w:rPr>
          <w:rFonts w:hint="eastAsia"/>
          <w:color w:val="auto"/>
          <w:highlight w:val="none"/>
        </w:rPr>
        <w:t>万元；本规划投资如下表所示。</w:t>
      </w:r>
    </w:p>
    <w:p>
      <w:pPr>
        <w:pStyle w:val="10"/>
        <w:spacing w:line="240" w:lineRule="auto"/>
        <w:ind w:left="0" w:firstLine="0" w:firstLineChars="0"/>
        <w:jc w:val="center"/>
        <w:rPr>
          <w:rFonts w:ascii="Times New Roman" w:eastAsia="宋体" w:hAnsi="Times New Roman" w:hint="eastAsia"/>
          <w:b/>
          <w:bCs/>
          <w:color w:val="auto"/>
          <w:szCs w:val="21"/>
          <w:highlight w:val="none"/>
        </w:rPr>
      </w:pPr>
      <w:r>
        <w:rPr>
          <w:rFonts w:ascii="Times New Roman" w:eastAsia="宋体" w:hAnsi="Times New Roman" w:hint="eastAsia"/>
          <w:b/>
          <w:bCs/>
          <w:color w:val="auto"/>
          <w:szCs w:val="21"/>
          <w:highlight w:val="none"/>
          <w:lang w:val="en-US" w:eastAsia="zh-CN"/>
        </w:rPr>
        <w:t xml:space="preserve">表13-1 </w:t>
      </w:r>
      <w:r>
        <w:rPr>
          <w:rFonts w:ascii="Times New Roman" w:eastAsia="宋体" w:hAnsi="Times New Roman" w:hint="eastAsia"/>
          <w:b/>
          <w:bCs/>
          <w:color w:val="auto"/>
          <w:szCs w:val="21"/>
          <w:highlight w:val="none"/>
        </w:rPr>
        <w:t>宏站目标网投资估算表（铁塔机房配套部分）</w:t>
      </w:r>
    </w:p>
    <w:tbl>
      <w:tblPr>
        <w:tblStyle w:val="TableNormal"/>
        <w:tblW w:w="10098" w:type="dxa"/>
        <w:jc w:val="center"/>
        <w:tblLayout w:type="fixed"/>
        <w:tblCellMar>
          <w:top w:w="0" w:type="dxa"/>
          <w:left w:w="108" w:type="dxa"/>
          <w:bottom w:w="0" w:type="dxa"/>
          <w:right w:w="108" w:type="dxa"/>
        </w:tblCellMar>
      </w:tblPr>
      <w:tblGrid>
        <w:gridCol w:w="1175"/>
        <w:gridCol w:w="1168"/>
        <w:gridCol w:w="1040"/>
        <w:gridCol w:w="1253"/>
        <w:gridCol w:w="1429"/>
        <w:gridCol w:w="1300"/>
        <w:gridCol w:w="1416"/>
        <w:gridCol w:w="1317"/>
      </w:tblGrid>
      <w:tr>
        <w:tblPrEx>
          <w:tblW w:w="10098" w:type="dxa"/>
          <w:jc w:val="center"/>
          <w:tblLayout w:type="fixed"/>
          <w:tblCellMar>
            <w:top w:w="0" w:type="dxa"/>
            <w:left w:w="108" w:type="dxa"/>
            <w:bottom w:w="0" w:type="dxa"/>
            <w:right w:w="108" w:type="dxa"/>
          </w:tblCellMar>
        </w:tblPrEx>
        <w:trPr>
          <w:trHeight w:val="280"/>
          <w:jc w:val="center"/>
        </w:trPr>
        <w:tc>
          <w:tcPr>
            <w:tcW w:w="23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b/>
                <w:bCs/>
                <w:color w:val="auto"/>
                <w:kern w:val="0"/>
                <w:highlight w:val="none"/>
              </w:rPr>
            </w:pPr>
            <w:r>
              <w:rPr>
                <w:rFonts w:ascii="Times New Roman" w:eastAsia="宋体" w:hAnsi="Times New Roman" w:cs="宋体" w:hint="eastAsia"/>
                <w:b/>
                <w:bCs/>
                <w:color w:val="auto"/>
                <w:kern w:val="0"/>
                <w:highlight w:val="none"/>
              </w:rPr>
              <w:t>无线配套项目</w:t>
            </w:r>
          </w:p>
        </w:tc>
        <w:tc>
          <w:tcPr>
            <w:tcW w:w="1040" w:type="dxa"/>
            <w:tcBorders>
              <w:top w:val="single" w:sz="4" w:space="0" w:color="auto"/>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b/>
                <w:bCs/>
                <w:color w:val="auto"/>
                <w:kern w:val="0"/>
                <w:highlight w:val="none"/>
              </w:rPr>
            </w:pPr>
            <w:r>
              <w:rPr>
                <w:rFonts w:ascii="Times New Roman" w:eastAsia="宋体" w:hAnsi="Times New Roman" w:cs="宋体" w:hint="eastAsia"/>
                <w:b/>
                <w:bCs/>
                <w:color w:val="auto"/>
                <w:kern w:val="0"/>
                <w:highlight w:val="none"/>
              </w:rPr>
              <w:t>单位</w:t>
            </w:r>
          </w:p>
        </w:tc>
        <w:tc>
          <w:tcPr>
            <w:tcW w:w="1253" w:type="dxa"/>
            <w:tcBorders>
              <w:top w:val="single" w:sz="4" w:space="0" w:color="auto"/>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hint="eastAsia"/>
                <w:b/>
                <w:bCs/>
                <w:color w:val="auto"/>
                <w:kern w:val="0"/>
                <w:highlight w:val="none"/>
              </w:rPr>
            </w:pPr>
            <w:r>
              <w:rPr>
                <w:rFonts w:ascii="Times New Roman" w:eastAsia="宋体" w:hAnsi="Times New Roman" w:cs="宋体" w:hint="eastAsia"/>
                <w:b/>
                <w:bCs/>
                <w:color w:val="auto"/>
                <w:kern w:val="0"/>
                <w:highlight w:val="none"/>
              </w:rPr>
              <w:t>单价</w:t>
            </w:r>
          </w:p>
          <w:p>
            <w:pPr>
              <w:widowControl/>
              <w:spacing w:before="0" w:beforeAutospacing="0" w:after="0" w:afterAutospacing="0" w:line="240" w:lineRule="auto"/>
              <w:ind w:left="0" w:firstLine="0" w:leftChars="0" w:firstLineChars="0"/>
              <w:jc w:val="center"/>
              <w:rPr>
                <w:rFonts w:ascii="Times New Roman" w:eastAsia="宋体" w:hAnsi="Times New Roman" w:cs="宋体"/>
                <w:b/>
                <w:bCs/>
                <w:color w:val="auto"/>
                <w:kern w:val="0"/>
                <w:highlight w:val="none"/>
              </w:rPr>
            </w:pPr>
            <w:r>
              <w:rPr>
                <w:rFonts w:ascii="Times New Roman" w:eastAsia="宋体" w:hAnsi="Times New Roman" w:cs="宋体" w:hint="eastAsia"/>
                <w:b/>
                <w:bCs/>
                <w:color w:val="auto"/>
                <w:kern w:val="0"/>
                <w:highlight w:val="none"/>
              </w:rPr>
              <w:t>（万元）</w:t>
            </w:r>
          </w:p>
        </w:tc>
        <w:tc>
          <w:tcPr>
            <w:tcW w:w="1429" w:type="dxa"/>
            <w:tcBorders>
              <w:top w:val="single" w:sz="4" w:space="0" w:color="auto"/>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hint="eastAsia"/>
                <w:b/>
                <w:bCs/>
                <w:color w:val="auto"/>
                <w:kern w:val="0"/>
                <w:highlight w:val="none"/>
              </w:rPr>
            </w:pPr>
            <w:r>
              <w:rPr>
                <w:rFonts w:ascii="Times New Roman" w:eastAsia="宋体" w:hAnsi="Times New Roman" w:cs="宋体" w:hint="eastAsia"/>
                <w:b/>
                <w:bCs/>
                <w:color w:val="auto"/>
                <w:kern w:val="0"/>
                <w:highlight w:val="none"/>
              </w:rPr>
              <w:t>近期</w:t>
            </w:r>
          </w:p>
          <w:p>
            <w:pPr>
              <w:widowControl/>
              <w:spacing w:before="0" w:beforeAutospacing="0" w:after="0" w:afterAutospacing="0" w:line="240" w:lineRule="auto"/>
              <w:ind w:left="0" w:firstLine="0" w:leftChars="0" w:firstLineChars="0"/>
              <w:jc w:val="center"/>
              <w:rPr>
                <w:rFonts w:ascii="Times New Roman" w:eastAsia="宋体" w:hAnsi="Times New Roman" w:cs="宋体"/>
                <w:b/>
                <w:bCs/>
                <w:color w:val="auto"/>
                <w:kern w:val="0"/>
                <w:highlight w:val="none"/>
              </w:rPr>
            </w:pPr>
            <w:r>
              <w:rPr>
                <w:rFonts w:ascii="Times New Roman" w:eastAsia="宋体" w:hAnsi="Times New Roman" w:cs="宋体" w:hint="eastAsia"/>
                <w:b/>
                <w:bCs/>
                <w:color w:val="auto"/>
                <w:kern w:val="0"/>
                <w:highlight w:val="none"/>
              </w:rPr>
              <w:t>（万元）</w:t>
            </w:r>
          </w:p>
        </w:tc>
        <w:tc>
          <w:tcPr>
            <w:tcW w:w="1300" w:type="dxa"/>
            <w:tcBorders>
              <w:top w:val="single" w:sz="4" w:space="0" w:color="auto"/>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hint="eastAsia"/>
                <w:b/>
                <w:bCs/>
                <w:color w:val="auto"/>
                <w:kern w:val="0"/>
                <w:highlight w:val="none"/>
              </w:rPr>
            </w:pPr>
            <w:r>
              <w:rPr>
                <w:rFonts w:ascii="Times New Roman" w:eastAsia="宋体" w:hAnsi="Times New Roman" w:cs="宋体" w:hint="eastAsia"/>
                <w:b/>
                <w:bCs/>
                <w:color w:val="auto"/>
                <w:kern w:val="0"/>
                <w:highlight w:val="none"/>
              </w:rPr>
              <w:t>中期</w:t>
            </w:r>
          </w:p>
          <w:p>
            <w:pPr>
              <w:widowControl/>
              <w:spacing w:before="0" w:beforeAutospacing="0" w:after="0" w:afterAutospacing="0" w:line="240" w:lineRule="auto"/>
              <w:ind w:left="0" w:firstLine="0" w:leftChars="0" w:firstLineChars="0"/>
              <w:jc w:val="center"/>
              <w:rPr>
                <w:rFonts w:ascii="Times New Roman" w:eastAsia="宋体" w:hAnsi="Times New Roman" w:cs="宋体"/>
                <w:b/>
                <w:bCs/>
                <w:color w:val="auto"/>
                <w:kern w:val="0"/>
                <w:highlight w:val="none"/>
              </w:rPr>
            </w:pPr>
            <w:r>
              <w:rPr>
                <w:rFonts w:ascii="Times New Roman" w:eastAsia="宋体" w:hAnsi="Times New Roman" w:cs="宋体" w:hint="eastAsia"/>
                <w:b/>
                <w:bCs/>
                <w:color w:val="auto"/>
                <w:kern w:val="0"/>
                <w:highlight w:val="none"/>
              </w:rPr>
              <w:t>（万元）</w:t>
            </w:r>
          </w:p>
        </w:tc>
        <w:tc>
          <w:tcPr>
            <w:tcW w:w="1416" w:type="dxa"/>
            <w:tcBorders>
              <w:top w:val="single" w:sz="4" w:space="0" w:color="auto"/>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hint="eastAsia"/>
                <w:b/>
                <w:bCs/>
                <w:color w:val="auto"/>
                <w:kern w:val="0"/>
                <w:highlight w:val="none"/>
              </w:rPr>
            </w:pPr>
            <w:r>
              <w:rPr>
                <w:rFonts w:ascii="Times New Roman" w:eastAsia="宋体" w:hAnsi="Times New Roman" w:cs="宋体" w:hint="eastAsia"/>
                <w:b/>
                <w:bCs/>
                <w:color w:val="auto"/>
                <w:kern w:val="0"/>
                <w:highlight w:val="none"/>
              </w:rPr>
              <w:t>远期</w:t>
            </w:r>
          </w:p>
          <w:p>
            <w:pPr>
              <w:widowControl/>
              <w:spacing w:before="0" w:beforeAutospacing="0" w:after="0" w:afterAutospacing="0" w:line="240" w:lineRule="auto"/>
              <w:ind w:left="0" w:firstLine="0" w:leftChars="0" w:firstLineChars="0"/>
              <w:jc w:val="center"/>
              <w:rPr>
                <w:rFonts w:ascii="Times New Roman" w:eastAsia="宋体" w:hAnsi="Times New Roman" w:cs="宋体"/>
                <w:b/>
                <w:bCs/>
                <w:color w:val="auto"/>
                <w:kern w:val="0"/>
                <w:highlight w:val="none"/>
              </w:rPr>
            </w:pPr>
            <w:r>
              <w:rPr>
                <w:rFonts w:ascii="Times New Roman" w:eastAsia="宋体" w:hAnsi="Times New Roman" w:cs="宋体" w:hint="eastAsia"/>
                <w:b/>
                <w:bCs/>
                <w:color w:val="auto"/>
                <w:kern w:val="0"/>
                <w:highlight w:val="none"/>
              </w:rPr>
              <w:t>（万元）</w:t>
            </w:r>
          </w:p>
        </w:tc>
        <w:tc>
          <w:tcPr>
            <w:tcW w:w="1317" w:type="dxa"/>
            <w:tcBorders>
              <w:top w:val="single" w:sz="4" w:space="0" w:color="auto"/>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hint="eastAsia"/>
                <w:b/>
                <w:bCs/>
                <w:color w:val="auto"/>
                <w:kern w:val="0"/>
                <w:highlight w:val="none"/>
              </w:rPr>
            </w:pPr>
            <w:r>
              <w:rPr>
                <w:rFonts w:ascii="Times New Roman" w:eastAsia="宋体" w:hAnsi="Times New Roman" w:cs="宋体" w:hint="eastAsia"/>
                <w:b/>
                <w:bCs/>
                <w:color w:val="auto"/>
                <w:kern w:val="0"/>
                <w:highlight w:val="none"/>
              </w:rPr>
              <w:t>合计</w:t>
            </w:r>
          </w:p>
          <w:p>
            <w:pPr>
              <w:widowControl/>
              <w:spacing w:before="0" w:beforeAutospacing="0" w:after="0" w:afterAutospacing="0" w:line="240" w:lineRule="auto"/>
              <w:ind w:left="0" w:firstLine="0" w:leftChars="0" w:firstLineChars="0"/>
              <w:jc w:val="center"/>
              <w:rPr>
                <w:rFonts w:ascii="Times New Roman" w:eastAsia="宋体" w:hAnsi="Times New Roman" w:cs="宋体"/>
                <w:b/>
                <w:bCs/>
                <w:color w:val="auto"/>
                <w:kern w:val="0"/>
                <w:highlight w:val="none"/>
              </w:rPr>
            </w:pPr>
            <w:r>
              <w:rPr>
                <w:rFonts w:ascii="Times New Roman" w:eastAsia="宋体" w:hAnsi="Times New Roman" w:cs="宋体" w:hint="eastAsia"/>
                <w:b/>
                <w:bCs/>
                <w:color w:val="auto"/>
                <w:kern w:val="0"/>
                <w:highlight w:val="none"/>
              </w:rPr>
              <w:t>（万元）</w:t>
            </w:r>
          </w:p>
        </w:tc>
      </w:tr>
      <w:tr>
        <w:tblPrEx>
          <w:tblW w:w="10098" w:type="dxa"/>
          <w:jc w:val="center"/>
          <w:tblLayout w:type="fixed"/>
          <w:tblCellMar>
            <w:top w:w="0" w:type="dxa"/>
            <w:left w:w="108" w:type="dxa"/>
            <w:bottom w:w="0" w:type="dxa"/>
            <w:right w:w="108" w:type="dxa"/>
          </w:tblCellMar>
        </w:tblPrEx>
        <w:trPr>
          <w:trHeight w:val="280"/>
          <w:jc w:val="center"/>
        </w:trPr>
        <w:tc>
          <w:tcPr>
            <w:tcW w:w="1175" w:type="dxa"/>
            <w:vMerge w:val="restart"/>
            <w:tcBorders>
              <w:top w:val="nil"/>
              <w:left w:val="single" w:sz="4" w:space="0" w:color="auto"/>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宏站新建</w:t>
            </w:r>
          </w:p>
        </w:tc>
        <w:tc>
          <w:tcPr>
            <w:tcW w:w="1168"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sz w:val="22"/>
                <w:szCs w:val="22"/>
                <w:highlight w:val="none"/>
              </w:rPr>
            </w:pPr>
            <w:r>
              <w:rPr>
                <w:rFonts w:ascii="Times New Roman" w:eastAsia="宋体" w:hAnsi="Times New Roman" w:cs="宋体" w:hint="eastAsia"/>
                <w:color w:val="auto"/>
                <w:kern w:val="0"/>
                <w:sz w:val="22"/>
                <w:szCs w:val="22"/>
                <w:highlight w:val="none"/>
              </w:rPr>
              <w:t>单管塔</w:t>
            </w:r>
          </w:p>
        </w:tc>
        <w:tc>
          <w:tcPr>
            <w:tcW w:w="1040"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个</w:t>
            </w:r>
          </w:p>
        </w:tc>
        <w:tc>
          <w:tcPr>
            <w:tcW w:w="1253"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37.63</w:t>
            </w:r>
          </w:p>
        </w:tc>
        <w:tc>
          <w:tcPr>
            <w:tcW w:w="1429"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 xml:space="preserve">978.38 </w:t>
            </w:r>
          </w:p>
        </w:tc>
        <w:tc>
          <w:tcPr>
            <w:tcW w:w="1300"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 xml:space="preserve">42777.22 </w:t>
            </w:r>
          </w:p>
        </w:tc>
        <w:tc>
          <w:tcPr>
            <w:tcW w:w="1416"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112.89</w:t>
            </w:r>
          </w:p>
        </w:tc>
        <w:tc>
          <w:tcPr>
            <w:tcW w:w="1317"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 xml:space="preserve">43868.49 </w:t>
            </w:r>
          </w:p>
        </w:tc>
      </w:tr>
      <w:tr>
        <w:tblPrEx>
          <w:tblW w:w="10098" w:type="dxa"/>
          <w:jc w:val="center"/>
          <w:tblLayout w:type="fixed"/>
          <w:tblCellMar>
            <w:top w:w="0" w:type="dxa"/>
            <w:left w:w="108" w:type="dxa"/>
            <w:bottom w:w="0" w:type="dxa"/>
            <w:right w:w="108" w:type="dxa"/>
          </w:tblCellMar>
        </w:tblPrEx>
        <w:trPr>
          <w:trHeight w:val="280"/>
          <w:jc w:val="center"/>
        </w:trPr>
        <w:tc>
          <w:tcPr>
            <w:tcW w:w="1175" w:type="dxa"/>
            <w:vMerge/>
            <w:tcBorders>
              <w:top w:val="nil"/>
              <w:left w:val="single" w:sz="4" w:space="0" w:color="auto"/>
              <w:bottom w:val="single" w:sz="4" w:space="0" w:color="auto"/>
              <w:right w:val="single" w:sz="4" w:space="0" w:color="auto"/>
            </w:tcBorders>
            <w:vAlign w:val="center"/>
          </w:tcPr>
          <w:p>
            <w:pPr>
              <w:widowControl/>
              <w:spacing w:before="0" w:beforeAutospacing="0" w:after="0" w:afterAutospacing="0" w:line="240" w:lineRule="auto"/>
              <w:ind w:left="0" w:firstLine="0" w:leftChars="0" w:firstLineChars="0"/>
              <w:jc w:val="left"/>
              <w:rPr>
                <w:rFonts w:ascii="Times New Roman" w:eastAsia="宋体" w:hAnsi="Times New Roman" w:cs="宋体"/>
                <w:color w:val="auto"/>
                <w:kern w:val="0"/>
                <w:highlight w:val="none"/>
              </w:rPr>
            </w:pPr>
          </w:p>
        </w:tc>
        <w:tc>
          <w:tcPr>
            <w:tcW w:w="1168"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sz w:val="22"/>
                <w:szCs w:val="22"/>
                <w:highlight w:val="none"/>
              </w:rPr>
            </w:pPr>
            <w:r>
              <w:rPr>
                <w:rFonts w:ascii="Times New Roman" w:eastAsia="宋体" w:hAnsi="Times New Roman" w:cs="宋体" w:hint="eastAsia"/>
                <w:color w:val="auto"/>
                <w:kern w:val="0"/>
                <w:sz w:val="22"/>
                <w:szCs w:val="22"/>
                <w:highlight w:val="none"/>
              </w:rPr>
              <w:t>角钢塔</w:t>
            </w:r>
          </w:p>
        </w:tc>
        <w:tc>
          <w:tcPr>
            <w:tcW w:w="1040"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个</w:t>
            </w:r>
          </w:p>
        </w:tc>
        <w:tc>
          <w:tcPr>
            <w:tcW w:w="1253"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42.93</w:t>
            </w:r>
          </w:p>
        </w:tc>
        <w:tc>
          <w:tcPr>
            <w:tcW w:w="1429"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 xml:space="preserve">0.00 </w:t>
            </w:r>
          </w:p>
        </w:tc>
        <w:tc>
          <w:tcPr>
            <w:tcW w:w="1300"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 xml:space="preserve">5146.76 </w:t>
            </w:r>
          </w:p>
        </w:tc>
        <w:tc>
          <w:tcPr>
            <w:tcW w:w="1416"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20091.24</w:t>
            </w:r>
          </w:p>
        </w:tc>
        <w:tc>
          <w:tcPr>
            <w:tcW w:w="1317"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25238</w:t>
            </w:r>
            <w:r>
              <w:rPr>
                <w:rFonts w:ascii="Times New Roman" w:eastAsia="宋体" w:hAnsi="Times New Roman" w:cs="宋体" w:hint="eastAsia"/>
                <w:color w:val="auto"/>
                <w:kern w:val="0"/>
                <w:highlight w:val="none"/>
                <w:lang w:val="en-US" w:eastAsia="zh-CN"/>
              </w:rPr>
              <w:t>.00</w:t>
            </w:r>
            <w:r>
              <w:rPr>
                <w:rFonts w:ascii="Times New Roman" w:eastAsia="宋体" w:hAnsi="Times New Roman" w:cs="宋体" w:hint="eastAsia"/>
                <w:color w:val="auto"/>
                <w:kern w:val="0"/>
                <w:highlight w:val="none"/>
              </w:rPr>
              <w:t xml:space="preserve"> </w:t>
            </w:r>
          </w:p>
        </w:tc>
      </w:tr>
      <w:tr>
        <w:tblPrEx>
          <w:tblW w:w="10098" w:type="dxa"/>
          <w:jc w:val="center"/>
          <w:tblLayout w:type="fixed"/>
          <w:tblCellMar>
            <w:top w:w="0" w:type="dxa"/>
            <w:left w:w="108" w:type="dxa"/>
            <w:bottom w:w="0" w:type="dxa"/>
            <w:right w:w="108" w:type="dxa"/>
          </w:tblCellMar>
        </w:tblPrEx>
        <w:trPr>
          <w:trHeight w:val="280"/>
          <w:jc w:val="center"/>
        </w:trPr>
        <w:tc>
          <w:tcPr>
            <w:tcW w:w="1175" w:type="dxa"/>
            <w:vMerge/>
            <w:tcBorders>
              <w:top w:val="nil"/>
              <w:left w:val="single" w:sz="4" w:space="0" w:color="auto"/>
              <w:bottom w:val="single" w:sz="4" w:space="0" w:color="auto"/>
              <w:right w:val="single" w:sz="4" w:space="0" w:color="auto"/>
            </w:tcBorders>
            <w:vAlign w:val="center"/>
          </w:tcPr>
          <w:p>
            <w:pPr>
              <w:widowControl/>
              <w:spacing w:before="0" w:beforeAutospacing="0" w:after="0" w:afterAutospacing="0" w:line="240" w:lineRule="auto"/>
              <w:ind w:left="0" w:firstLine="0" w:leftChars="0" w:firstLineChars="0"/>
              <w:jc w:val="left"/>
              <w:rPr>
                <w:rFonts w:ascii="Times New Roman" w:eastAsia="宋体" w:hAnsi="Times New Roman" w:cs="宋体"/>
                <w:color w:val="auto"/>
                <w:kern w:val="0"/>
                <w:highlight w:val="none"/>
              </w:rPr>
            </w:pPr>
          </w:p>
        </w:tc>
        <w:tc>
          <w:tcPr>
            <w:tcW w:w="1168"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sz w:val="22"/>
                <w:szCs w:val="22"/>
                <w:highlight w:val="none"/>
              </w:rPr>
            </w:pPr>
            <w:r>
              <w:rPr>
                <w:rFonts w:ascii="Times New Roman" w:eastAsia="宋体" w:hAnsi="Times New Roman" w:cs="宋体" w:hint="eastAsia"/>
                <w:color w:val="auto"/>
                <w:kern w:val="0"/>
                <w:sz w:val="22"/>
                <w:szCs w:val="22"/>
                <w:highlight w:val="none"/>
              </w:rPr>
              <w:t>景观塔</w:t>
            </w:r>
          </w:p>
        </w:tc>
        <w:tc>
          <w:tcPr>
            <w:tcW w:w="1040"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个</w:t>
            </w:r>
          </w:p>
        </w:tc>
        <w:tc>
          <w:tcPr>
            <w:tcW w:w="1253"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24.91</w:t>
            </w:r>
          </w:p>
        </w:tc>
        <w:tc>
          <w:tcPr>
            <w:tcW w:w="1429"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 xml:space="preserve">0.00 </w:t>
            </w:r>
          </w:p>
        </w:tc>
        <w:tc>
          <w:tcPr>
            <w:tcW w:w="1300"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 xml:space="preserve">2154.42 </w:t>
            </w:r>
          </w:p>
        </w:tc>
        <w:tc>
          <w:tcPr>
            <w:tcW w:w="1416"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 xml:space="preserve">149.46 </w:t>
            </w:r>
          </w:p>
        </w:tc>
        <w:tc>
          <w:tcPr>
            <w:tcW w:w="1317"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 xml:space="preserve">2303.88 </w:t>
            </w:r>
          </w:p>
        </w:tc>
      </w:tr>
      <w:tr>
        <w:tblPrEx>
          <w:tblW w:w="10098" w:type="dxa"/>
          <w:jc w:val="center"/>
          <w:tblLayout w:type="fixed"/>
          <w:tblCellMar>
            <w:top w:w="0" w:type="dxa"/>
            <w:left w:w="108" w:type="dxa"/>
            <w:bottom w:w="0" w:type="dxa"/>
            <w:right w:w="108" w:type="dxa"/>
          </w:tblCellMar>
        </w:tblPrEx>
        <w:trPr>
          <w:trHeight w:val="280"/>
          <w:jc w:val="center"/>
        </w:trPr>
        <w:tc>
          <w:tcPr>
            <w:tcW w:w="1175" w:type="dxa"/>
            <w:vMerge/>
            <w:tcBorders>
              <w:top w:val="nil"/>
              <w:left w:val="single" w:sz="4" w:space="0" w:color="auto"/>
              <w:bottom w:val="single" w:sz="4" w:space="0" w:color="auto"/>
              <w:right w:val="single" w:sz="4" w:space="0" w:color="auto"/>
            </w:tcBorders>
            <w:vAlign w:val="center"/>
          </w:tcPr>
          <w:p>
            <w:pPr>
              <w:widowControl/>
              <w:spacing w:before="0" w:beforeAutospacing="0" w:after="0" w:afterAutospacing="0" w:line="240" w:lineRule="auto"/>
              <w:ind w:left="0" w:firstLine="0" w:leftChars="0" w:firstLineChars="0"/>
              <w:jc w:val="left"/>
              <w:rPr>
                <w:rFonts w:ascii="Times New Roman" w:eastAsia="宋体" w:hAnsi="Times New Roman" w:cs="宋体"/>
                <w:color w:val="auto"/>
                <w:kern w:val="0"/>
                <w:highlight w:val="none"/>
              </w:rPr>
            </w:pPr>
          </w:p>
        </w:tc>
        <w:tc>
          <w:tcPr>
            <w:tcW w:w="1168"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sz w:val="22"/>
                <w:szCs w:val="22"/>
                <w:highlight w:val="none"/>
              </w:rPr>
            </w:pPr>
            <w:r>
              <w:rPr>
                <w:rFonts w:ascii="Times New Roman" w:eastAsia="宋体" w:hAnsi="Times New Roman" w:cs="宋体" w:hint="eastAsia"/>
                <w:color w:val="auto"/>
                <w:kern w:val="0"/>
                <w:sz w:val="22"/>
                <w:szCs w:val="22"/>
                <w:highlight w:val="none"/>
              </w:rPr>
              <w:t>三管塔</w:t>
            </w:r>
          </w:p>
        </w:tc>
        <w:tc>
          <w:tcPr>
            <w:tcW w:w="1040"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个</w:t>
            </w:r>
          </w:p>
        </w:tc>
        <w:tc>
          <w:tcPr>
            <w:tcW w:w="1253"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34.45</w:t>
            </w:r>
          </w:p>
        </w:tc>
        <w:tc>
          <w:tcPr>
            <w:tcW w:w="1429"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 xml:space="preserve">0.00 </w:t>
            </w:r>
          </w:p>
        </w:tc>
        <w:tc>
          <w:tcPr>
            <w:tcW w:w="1300"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 xml:space="preserve">21636.9 </w:t>
            </w:r>
          </w:p>
        </w:tc>
        <w:tc>
          <w:tcPr>
            <w:tcW w:w="1416"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32107.4</w:t>
            </w:r>
            <w:r>
              <w:rPr>
                <w:rFonts w:ascii="Times New Roman" w:eastAsia="宋体" w:hAnsi="Times New Roman" w:cs="宋体" w:hint="eastAsia"/>
                <w:color w:val="auto"/>
                <w:kern w:val="0"/>
                <w:highlight w:val="none"/>
                <w:lang w:val="en-US" w:eastAsia="zh-CN"/>
              </w:rPr>
              <w:t>0</w:t>
            </w:r>
            <w:r>
              <w:rPr>
                <w:rFonts w:ascii="Times New Roman" w:eastAsia="宋体" w:hAnsi="Times New Roman" w:cs="宋体" w:hint="eastAsia"/>
                <w:color w:val="auto"/>
                <w:kern w:val="0"/>
                <w:highlight w:val="none"/>
              </w:rPr>
              <w:t xml:space="preserve"> </w:t>
            </w:r>
          </w:p>
        </w:tc>
        <w:tc>
          <w:tcPr>
            <w:tcW w:w="1317"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53744.3</w:t>
            </w:r>
          </w:p>
        </w:tc>
      </w:tr>
      <w:tr>
        <w:tblPrEx>
          <w:tblW w:w="10098" w:type="dxa"/>
          <w:jc w:val="center"/>
          <w:tblLayout w:type="fixed"/>
          <w:tblCellMar>
            <w:top w:w="0" w:type="dxa"/>
            <w:left w:w="108" w:type="dxa"/>
            <w:bottom w:w="0" w:type="dxa"/>
            <w:right w:w="108" w:type="dxa"/>
          </w:tblCellMar>
        </w:tblPrEx>
        <w:trPr>
          <w:trHeight w:val="280"/>
          <w:jc w:val="center"/>
        </w:trPr>
        <w:tc>
          <w:tcPr>
            <w:tcW w:w="1175" w:type="dxa"/>
            <w:vMerge/>
            <w:tcBorders>
              <w:top w:val="nil"/>
              <w:left w:val="single" w:sz="4" w:space="0" w:color="auto"/>
              <w:bottom w:val="single" w:sz="4" w:space="0" w:color="auto"/>
              <w:right w:val="single" w:sz="4" w:space="0" w:color="auto"/>
            </w:tcBorders>
            <w:vAlign w:val="center"/>
          </w:tcPr>
          <w:p>
            <w:pPr>
              <w:widowControl/>
              <w:spacing w:before="0" w:beforeAutospacing="0" w:after="0" w:afterAutospacing="0" w:line="240" w:lineRule="auto"/>
              <w:ind w:left="0" w:firstLine="0" w:leftChars="0" w:firstLineChars="0"/>
              <w:jc w:val="left"/>
              <w:rPr>
                <w:rFonts w:ascii="Times New Roman" w:eastAsia="宋体" w:hAnsi="Times New Roman" w:cs="宋体"/>
                <w:color w:val="auto"/>
                <w:kern w:val="0"/>
                <w:highlight w:val="none"/>
              </w:rPr>
            </w:pPr>
          </w:p>
        </w:tc>
        <w:tc>
          <w:tcPr>
            <w:tcW w:w="1168"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sz w:val="22"/>
                <w:szCs w:val="22"/>
                <w:highlight w:val="none"/>
              </w:rPr>
            </w:pPr>
            <w:r>
              <w:rPr>
                <w:rFonts w:ascii="Times New Roman" w:eastAsia="宋体" w:hAnsi="Times New Roman" w:cs="宋体" w:hint="eastAsia"/>
                <w:color w:val="auto"/>
                <w:kern w:val="0"/>
                <w:sz w:val="22"/>
                <w:szCs w:val="22"/>
                <w:highlight w:val="none"/>
              </w:rPr>
              <w:t>楼面塔</w:t>
            </w:r>
          </w:p>
        </w:tc>
        <w:tc>
          <w:tcPr>
            <w:tcW w:w="1040"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个</w:t>
            </w:r>
          </w:p>
        </w:tc>
        <w:tc>
          <w:tcPr>
            <w:tcW w:w="1253"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6.1</w:t>
            </w:r>
          </w:p>
        </w:tc>
        <w:tc>
          <w:tcPr>
            <w:tcW w:w="1429"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 xml:space="preserve">0.00 </w:t>
            </w:r>
          </w:p>
        </w:tc>
        <w:tc>
          <w:tcPr>
            <w:tcW w:w="1300"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 xml:space="preserve">3829.36 </w:t>
            </w:r>
          </w:p>
        </w:tc>
        <w:tc>
          <w:tcPr>
            <w:tcW w:w="1416"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48.8</w:t>
            </w:r>
          </w:p>
        </w:tc>
        <w:tc>
          <w:tcPr>
            <w:tcW w:w="1317"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 xml:space="preserve">3878.16 </w:t>
            </w:r>
          </w:p>
        </w:tc>
      </w:tr>
      <w:tr>
        <w:tblPrEx>
          <w:tblW w:w="10098" w:type="dxa"/>
          <w:jc w:val="center"/>
          <w:tblLayout w:type="fixed"/>
          <w:tblCellMar>
            <w:top w:w="0" w:type="dxa"/>
            <w:left w:w="108" w:type="dxa"/>
            <w:bottom w:w="0" w:type="dxa"/>
            <w:right w:w="108" w:type="dxa"/>
          </w:tblCellMar>
        </w:tblPrEx>
        <w:trPr>
          <w:trHeight w:val="280"/>
          <w:jc w:val="center"/>
        </w:trPr>
        <w:tc>
          <w:tcPr>
            <w:tcW w:w="1175" w:type="dxa"/>
            <w:vMerge w:val="restart"/>
            <w:tcBorders>
              <w:top w:val="nil"/>
              <w:left w:val="single" w:sz="4" w:space="0" w:color="auto"/>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宏站改造</w:t>
            </w:r>
          </w:p>
        </w:tc>
        <w:tc>
          <w:tcPr>
            <w:tcW w:w="1168"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地面站</w:t>
            </w:r>
          </w:p>
        </w:tc>
        <w:tc>
          <w:tcPr>
            <w:tcW w:w="1040"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个</w:t>
            </w:r>
          </w:p>
        </w:tc>
        <w:tc>
          <w:tcPr>
            <w:tcW w:w="1253"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1.59</w:t>
            </w:r>
          </w:p>
        </w:tc>
        <w:tc>
          <w:tcPr>
            <w:tcW w:w="1429"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 xml:space="preserve">1531.95 </w:t>
            </w:r>
          </w:p>
        </w:tc>
        <w:tc>
          <w:tcPr>
            <w:tcW w:w="1300"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 xml:space="preserve">1336.48 </w:t>
            </w:r>
          </w:p>
        </w:tc>
        <w:tc>
          <w:tcPr>
            <w:tcW w:w="1416"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2621.91</w:t>
            </w:r>
          </w:p>
        </w:tc>
        <w:tc>
          <w:tcPr>
            <w:tcW w:w="1317"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 xml:space="preserve">5490.34 </w:t>
            </w:r>
          </w:p>
        </w:tc>
      </w:tr>
      <w:tr>
        <w:tblPrEx>
          <w:tblW w:w="10098" w:type="dxa"/>
          <w:jc w:val="center"/>
          <w:tblLayout w:type="fixed"/>
          <w:tblCellMar>
            <w:top w:w="0" w:type="dxa"/>
            <w:left w:w="108" w:type="dxa"/>
            <w:bottom w:w="0" w:type="dxa"/>
            <w:right w:w="108" w:type="dxa"/>
          </w:tblCellMar>
        </w:tblPrEx>
        <w:trPr>
          <w:trHeight w:val="290"/>
          <w:jc w:val="center"/>
        </w:trPr>
        <w:tc>
          <w:tcPr>
            <w:tcW w:w="1175" w:type="dxa"/>
            <w:vMerge/>
            <w:tcBorders>
              <w:top w:val="nil"/>
              <w:left w:val="single" w:sz="4" w:space="0" w:color="auto"/>
              <w:bottom w:val="single" w:sz="4" w:space="0" w:color="auto"/>
              <w:right w:val="single" w:sz="4" w:space="0" w:color="auto"/>
            </w:tcBorders>
            <w:vAlign w:val="center"/>
          </w:tcPr>
          <w:p>
            <w:pPr>
              <w:widowControl/>
              <w:spacing w:before="0" w:beforeAutospacing="0" w:after="0" w:afterAutospacing="0" w:line="240" w:lineRule="auto"/>
              <w:ind w:left="0" w:firstLine="0" w:leftChars="0" w:firstLineChars="0"/>
              <w:jc w:val="left"/>
              <w:rPr>
                <w:rFonts w:ascii="Times New Roman" w:eastAsia="宋体" w:hAnsi="Times New Roman" w:cs="宋体"/>
                <w:color w:val="auto"/>
                <w:kern w:val="0"/>
                <w:highlight w:val="none"/>
              </w:rPr>
            </w:pPr>
          </w:p>
        </w:tc>
        <w:tc>
          <w:tcPr>
            <w:tcW w:w="1168"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楼面站</w:t>
            </w:r>
          </w:p>
        </w:tc>
        <w:tc>
          <w:tcPr>
            <w:tcW w:w="1040"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个</w:t>
            </w:r>
          </w:p>
        </w:tc>
        <w:tc>
          <w:tcPr>
            <w:tcW w:w="1253"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0.8</w:t>
            </w:r>
          </w:p>
        </w:tc>
        <w:tc>
          <w:tcPr>
            <w:tcW w:w="1429"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 xml:space="preserve">1785.09 </w:t>
            </w:r>
          </w:p>
        </w:tc>
        <w:tc>
          <w:tcPr>
            <w:tcW w:w="1300"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 xml:space="preserve">496.48 </w:t>
            </w:r>
          </w:p>
        </w:tc>
        <w:tc>
          <w:tcPr>
            <w:tcW w:w="1416"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1064</w:t>
            </w:r>
            <w:r>
              <w:rPr>
                <w:rFonts w:ascii="Times New Roman" w:eastAsia="宋体" w:hAnsi="Times New Roman" w:cs="宋体" w:hint="eastAsia"/>
                <w:color w:val="auto"/>
                <w:kern w:val="0"/>
                <w:highlight w:val="none"/>
                <w:lang w:val="en-US" w:eastAsia="zh-CN"/>
              </w:rPr>
              <w:t>.00</w:t>
            </w:r>
            <w:r>
              <w:rPr>
                <w:rFonts w:ascii="Times New Roman" w:eastAsia="宋体" w:hAnsi="Times New Roman" w:cs="宋体" w:hint="eastAsia"/>
                <w:color w:val="auto"/>
                <w:kern w:val="0"/>
                <w:highlight w:val="none"/>
              </w:rPr>
              <w:t xml:space="preserve"> </w:t>
            </w:r>
          </w:p>
        </w:tc>
        <w:tc>
          <w:tcPr>
            <w:tcW w:w="1317"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 xml:space="preserve">3345.57 </w:t>
            </w:r>
          </w:p>
        </w:tc>
      </w:tr>
      <w:tr>
        <w:tblPrEx>
          <w:tblW w:w="10098" w:type="dxa"/>
          <w:jc w:val="center"/>
          <w:tblLayout w:type="fixed"/>
          <w:tblCellMar>
            <w:top w:w="0" w:type="dxa"/>
            <w:left w:w="108" w:type="dxa"/>
            <w:bottom w:w="0" w:type="dxa"/>
            <w:right w:w="108" w:type="dxa"/>
          </w:tblCellMar>
        </w:tblPrEx>
        <w:trPr>
          <w:trHeight w:val="280"/>
          <w:jc w:val="center"/>
        </w:trPr>
        <w:tc>
          <w:tcPr>
            <w:tcW w:w="8781"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合计</w:t>
            </w:r>
          </w:p>
        </w:tc>
        <w:tc>
          <w:tcPr>
            <w:tcW w:w="1317"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highlight w:val="none"/>
              </w:rPr>
            </w:pPr>
            <w:r>
              <w:rPr>
                <w:rFonts w:ascii="Times New Roman" w:eastAsia="宋体" w:hAnsi="Times New Roman" w:cs="宋体" w:hint="eastAsia"/>
                <w:color w:val="auto"/>
                <w:kern w:val="0"/>
                <w:highlight w:val="none"/>
              </w:rPr>
              <w:t>137868.74</w:t>
            </w:r>
          </w:p>
        </w:tc>
      </w:tr>
    </w:tbl>
    <w:p>
      <w:pPr>
        <w:spacing w:line="360" w:lineRule="auto"/>
        <w:ind w:firstLine="420"/>
        <w:jc w:val="center"/>
        <w:rPr>
          <w:rFonts w:ascii="宋体" w:hAnsi="宋体" w:hint="eastAsia"/>
          <w:color w:val="auto"/>
          <w:highlight w:val="none"/>
        </w:rPr>
      </w:pPr>
    </w:p>
    <w:p>
      <w:pPr>
        <w:pStyle w:val="10"/>
        <w:spacing w:line="240" w:lineRule="auto"/>
        <w:ind w:left="0" w:firstLine="0" w:firstLineChars="0"/>
        <w:jc w:val="center"/>
        <w:rPr>
          <w:rFonts w:ascii="Times New Roman" w:eastAsia="宋体" w:hAnsi="Times New Roman" w:hint="eastAsia"/>
          <w:b/>
          <w:bCs/>
          <w:color w:val="auto"/>
          <w:szCs w:val="21"/>
          <w:highlight w:val="none"/>
        </w:rPr>
      </w:pPr>
      <w:r>
        <w:rPr>
          <w:rFonts w:ascii="Times New Roman" w:eastAsia="宋体" w:hAnsi="Times New Roman" w:hint="eastAsia"/>
          <w:b/>
          <w:bCs/>
          <w:color w:val="auto"/>
          <w:szCs w:val="21"/>
          <w:highlight w:val="none"/>
          <w:lang w:val="en-US" w:eastAsia="zh-CN"/>
        </w:rPr>
        <w:t xml:space="preserve">表13-2 </w:t>
      </w:r>
      <w:r>
        <w:rPr>
          <w:rFonts w:ascii="Times New Roman" w:eastAsia="宋体" w:hAnsi="Times New Roman" w:hint="eastAsia"/>
          <w:b/>
          <w:bCs/>
          <w:color w:val="auto"/>
          <w:szCs w:val="21"/>
          <w:highlight w:val="none"/>
        </w:rPr>
        <w:t>宏站目标网投资估算表（5G主设备部分）</w:t>
      </w:r>
    </w:p>
    <w:tbl>
      <w:tblPr>
        <w:tblStyle w:val="TableNormal"/>
        <w:tblW w:w="10435" w:type="dxa"/>
        <w:jc w:val="center"/>
        <w:tblLayout w:type="fixed"/>
        <w:tblCellMar>
          <w:top w:w="0" w:type="dxa"/>
          <w:left w:w="108" w:type="dxa"/>
          <w:bottom w:w="0" w:type="dxa"/>
          <w:right w:w="108" w:type="dxa"/>
        </w:tblCellMar>
      </w:tblPr>
      <w:tblGrid>
        <w:gridCol w:w="1238"/>
        <w:gridCol w:w="920"/>
        <w:gridCol w:w="844"/>
        <w:gridCol w:w="1596"/>
        <w:gridCol w:w="1620"/>
        <w:gridCol w:w="1376"/>
        <w:gridCol w:w="1460"/>
        <w:gridCol w:w="1381"/>
      </w:tblGrid>
      <w:tr>
        <w:tblPrEx>
          <w:tblW w:w="10435" w:type="dxa"/>
          <w:jc w:val="center"/>
          <w:tblLayout w:type="fixed"/>
          <w:tblCellMar>
            <w:top w:w="0" w:type="dxa"/>
            <w:left w:w="108" w:type="dxa"/>
            <w:bottom w:w="0" w:type="dxa"/>
            <w:right w:w="108" w:type="dxa"/>
          </w:tblCellMar>
        </w:tblPrEx>
        <w:trPr>
          <w:trHeight w:val="280"/>
          <w:jc w:val="center"/>
        </w:trPr>
        <w:tc>
          <w:tcPr>
            <w:tcW w:w="21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b/>
                <w:bCs/>
                <w:color w:val="auto"/>
                <w:kern w:val="0"/>
                <w:sz w:val="21"/>
                <w:szCs w:val="22"/>
                <w:highlight w:val="none"/>
              </w:rPr>
            </w:pPr>
            <w:r>
              <w:rPr>
                <w:rFonts w:ascii="Times New Roman" w:eastAsia="宋体" w:hAnsi="Times New Roman" w:cs="宋体" w:hint="eastAsia"/>
                <w:b/>
                <w:bCs/>
                <w:color w:val="auto"/>
                <w:kern w:val="0"/>
                <w:sz w:val="21"/>
                <w:szCs w:val="22"/>
                <w:highlight w:val="none"/>
              </w:rPr>
              <w:t>无线主设备项目</w:t>
            </w:r>
          </w:p>
        </w:tc>
        <w:tc>
          <w:tcPr>
            <w:tcW w:w="844" w:type="dxa"/>
            <w:tcBorders>
              <w:top w:val="single" w:sz="4" w:space="0" w:color="auto"/>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b/>
                <w:bCs/>
                <w:color w:val="auto"/>
                <w:kern w:val="0"/>
                <w:sz w:val="21"/>
                <w:szCs w:val="22"/>
                <w:highlight w:val="none"/>
              </w:rPr>
            </w:pPr>
            <w:r>
              <w:rPr>
                <w:rFonts w:ascii="Times New Roman" w:eastAsia="宋体" w:hAnsi="Times New Roman" w:cs="宋体" w:hint="eastAsia"/>
                <w:b/>
                <w:bCs/>
                <w:color w:val="auto"/>
                <w:kern w:val="0"/>
                <w:sz w:val="21"/>
                <w:szCs w:val="22"/>
                <w:highlight w:val="none"/>
              </w:rPr>
              <w:t>单位</w:t>
            </w:r>
          </w:p>
        </w:tc>
        <w:tc>
          <w:tcPr>
            <w:tcW w:w="1596" w:type="dxa"/>
            <w:tcBorders>
              <w:top w:val="single" w:sz="4" w:space="0" w:color="auto"/>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hint="eastAsia"/>
                <w:b/>
                <w:bCs/>
                <w:color w:val="auto"/>
                <w:kern w:val="0"/>
                <w:sz w:val="21"/>
                <w:szCs w:val="22"/>
                <w:highlight w:val="none"/>
              </w:rPr>
            </w:pPr>
            <w:r>
              <w:rPr>
                <w:rFonts w:ascii="Times New Roman" w:eastAsia="宋体" w:hAnsi="Times New Roman" w:cs="宋体" w:hint="eastAsia"/>
                <w:b/>
                <w:bCs/>
                <w:color w:val="auto"/>
                <w:kern w:val="0"/>
                <w:sz w:val="21"/>
                <w:szCs w:val="22"/>
                <w:highlight w:val="none"/>
              </w:rPr>
              <w:t>单价</w:t>
            </w:r>
          </w:p>
          <w:p>
            <w:pPr>
              <w:widowControl/>
              <w:spacing w:before="0" w:beforeAutospacing="0" w:after="0" w:afterAutospacing="0" w:line="240" w:lineRule="auto"/>
              <w:ind w:left="0" w:firstLine="0" w:leftChars="0" w:firstLineChars="0"/>
              <w:jc w:val="center"/>
              <w:rPr>
                <w:rFonts w:ascii="Times New Roman" w:eastAsia="宋体" w:hAnsi="Times New Roman" w:cs="宋体"/>
                <w:b/>
                <w:bCs/>
                <w:color w:val="auto"/>
                <w:kern w:val="0"/>
                <w:sz w:val="21"/>
                <w:szCs w:val="22"/>
                <w:highlight w:val="none"/>
              </w:rPr>
            </w:pPr>
            <w:r>
              <w:rPr>
                <w:rFonts w:ascii="Times New Roman" w:eastAsia="宋体" w:hAnsi="Times New Roman" w:cs="宋体" w:hint="eastAsia"/>
                <w:b/>
                <w:bCs/>
                <w:color w:val="auto"/>
                <w:kern w:val="0"/>
                <w:sz w:val="21"/>
                <w:szCs w:val="22"/>
                <w:highlight w:val="none"/>
              </w:rPr>
              <w:t>（万元）</w:t>
            </w:r>
          </w:p>
        </w:tc>
        <w:tc>
          <w:tcPr>
            <w:tcW w:w="1620" w:type="dxa"/>
            <w:tcBorders>
              <w:top w:val="single" w:sz="4" w:space="0" w:color="auto"/>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hint="eastAsia"/>
                <w:b/>
                <w:bCs/>
                <w:color w:val="auto"/>
                <w:kern w:val="0"/>
                <w:sz w:val="21"/>
                <w:szCs w:val="22"/>
                <w:highlight w:val="none"/>
              </w:rPr>
            </w:pPr>
            <w:r>
              <w:rPr>
                <w:rFonts w:ascii="Times New Roman" w:eastAsia="宋体" w:hAnsi="Times New Roman" w:cs="宋体" w:hint="eastAsia"/>
                <w:b/>
                <w:bCs/>
                <w:color w:val="auto"/>
                <w:kern w:val="0"/>
                <w:sz w:val="21"/>
                <w:szCs w:val="22"/>
                <w:highlight w:val="none"/>
              </w:rPr>
              <w:t>近期</w:t>
            </w:r>
          </w:p>
          <w:p>
            <w:pPr>
              <w:widowControl/>
              <w:spacing w:before="0" w:beforeAutospacing="0" w:after="0" w:afterAutospacing="0" w:line="240" w:lineRule="auto"/>
              <w:ind w:left="0" w:firstLine="0" w:leftChars="0" w:firstLineChars="0"/>
              <w:jc w:val="center"/>
              <w:rPr>
                <w:rFonts w:ascii="Times New Roman" w:eastAsia="宋体" w:hAnsi="Times New Roman" w:cs="宋体"/>
                <w:b/>
                <w:bCs/>
                <w:color w:val="auto"/>
                <w:kern w:val="0"/>
                <w:sz w:val="21"/>
                <w:szCs w:val="22"/>
                <w:highlight w:val="none"/>
              </w:rPr>
            </w:pPr>
            <w:r>
              <w:rPr>
                <w:rFonts w:ascii="Times New Roman" w:eastAsia="宋体" w:hAnsi="Times New Roman" w:cs="宋体" w:hint="eastAsia"/>
                <w:b/>
                <w:bCs/>
                <w:color w:val="auto"/>
                <w:kern w:val="0"/>
                <w:sz w:val="21"/>
                <w:szCs w:val="22"/>
                <w:highlight w:val="none"/>
              </w:rPr>
              <w:t>（万元）</w:t>
            </w:r>
          </w:p>
        </w:tc>
        <w:tc>
          <w:tcPr>
            <w:tcW w:w="1376" w:type="dxa"/>
            <w:tcBorders>
              <w:top w:val="single" w:sz="4" w:space="0" w:color="auto"/>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hint="eastAsia"/>
                <w:b/>
                <w:bCs/>
                <w:color w:val="auto"/>
                <w:kern w:val="0"/>
                <w:sz w:val="21"/>
                <w:szCs w:val="22"/>
                <w:highlight w:val="none"/>
              </w:rPr>
            </w:pPr>
            <w:r>
              <w:rPr>
                <w:rFonts w:ascii="Times New Roman" w:eastAsia="宋体" w:hAnsi="Times New Roman" w:cs="宋体" w:hint="eastAsia"/>
                <w:b/>
                <w:bCs/>
                <w:color w:val="auto"/>
                <w:kern w:val="0"/>
                <w:sz w:val="21"/>
                <w:szCs w:val="22"/>
                <w:highlight w:val="none"/>
              </w:rPr>
              <w:t>中期</w:t>
            </w:r>
          </w:p>
          <w:p>
            <w:pPr>
              <w:widowControl/>
              <w:spacing w:before="0" w:beforeAutospacing="0" w:after="0" w:afterAutospacing="0" w:line="240" w:lineRule="auto"/>
              <w:ind w:left="0" w:firstLine="0" w:leftChars="0" w:firstLineChars="0"/>
              <w:jc w:val="center"/>
              <w:rPr>
                <w:rFonts w:ascii="Times New Roman" w:eastAsia="宋体" w:hAnsi="Times New Roman" w:cs="宋体"/>
                <w:b/>
                <w:bCs/>
                <w:color w:val="auto"/>
                <w:kern w:val="0"/>
                <w:sz w:val="21"/>
                <w:szCs w:val="22"/>
                <w:highlight w:val="none"/>
              </w:rPr>
            </w:pPr>
            <w:r>
              <w:rPr>
                <w:rFonts w:ascii="Times New Roman" w:eastAsia="宋体" w:hAnsi="Times New Roman" w:cs="宋体" w:hint="eastAsia"/>
                <w:b/>
                <w:bCs/>
                <w:color w:val="auto"/>
                <w:kern w:val="0"/>
                <w:sz w:val="21"/>
                <w:szCs w:val="22"/>
                <w:highlight w:val="none"/>
              </w:rPr>
              <w:t>（万元）</w:t>
            </w:r>
          </w:p>
        </w:tc>
        <w:tc>
          <w:tcPr>
            <w:tcW w:w="1460" w:type="dxa"/>
            <w:tcBorders>
              <w:top w:val="single" w:sz="4" w:space="0" w:color="auto"/>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hint="eastAsia"/>
                <w:b/>
                <w:bCs/>
                <w:color w:val="auto"/>
                <w:kern w:val="0"/>
                <w:sz w:val="21"/>
                <w:szCs w:val="22"/>
                <w:highlight w:val="none"/>
              </w:rPr>
            </w:pPr>
            <w:r>
              <w:rPr>
                <w:rFonts w:ascii="Times New Roman" w:eastAsia="宋体" w:hAnsi="Times New Roman" w:cs="宋体" w:hint="eastAsia"/>
                <w:b/>
                <w:bCs/>
                <w:color w:val="auto"/>
                <w:kern w:val="0"/>
                <w:sz w:val="21"/>
                <w:szCs w:val="22"/>
                <w:highlight w:val="none"/>
              </w:rPr>
              <w:t>远期</w:t>
            </w:r>
          </w:p>
          <w:p>
            <w:pPr>
              <w:widowControl/>
              <w:spacing w:before="0" w:beforeAutospacing="0" w:after="0" w:afterAutospacing="0" w:line="240" w:lineRule="auto"/>
              <w:ind w:left="0" w:firstLine="0" w:leftChars="0" w:firstLineChars="0"/>
              <w:jc w:val="center"/>
              <w:rPr>
                <w:rFonts w:ascii="Times New Roman" w:eastAsia="宋体" w:hAnsi="Times New Roman" w:cs="宋体"/>
                <w:b/>
                <w:bCs/>
                <w:color w:val="auto"/>
                <w:kern w:val="0"/>
                <w:sz w:val="21"/>
                <w:szCs w:val="22"/>
                <w:highlight w:val="none"/>
              </w:rPr>
            </w:pPr>
            <w:r>
              <w:rPr>
                <w:rFonts w:ascii="Times New Roman" w:eastAsia="宋体" w:hAnsi="Times New Roman" w:cs="宋体" w:hint="eastAsia"/>
                <w:b/>
                <w:bCs/>
                <w:color w:val="auto"/>
                <w:kern w:val="0"/>
                <w:sz w:val="21"/>
                <w:szCs w:val="22"/>
                <w:highlight w:val="none"/>
              </w:rPr>
              <w:t>（万元）</w:t>
            </w:r>
          </w:p>
        </w:tc>
        <w:tc>
          <w:tcPr>
            <w:tcW w:w="1381" w:type="dxa"/>
            <w:tcBorders>
              <w:top w:val="single" w:sz="4" w:space="0" w:color="auto"/>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hint="eastAsia"/>
                <w:b/>
                <w:bCs/>
                <w:color w:val="auto"/>
                <w:kern w:val="0"/>
                <w:sz w:val="21"/>
                <w:szCs w:val="22"/>
                <w:highlight w:val="none"/>
              </w:rPr>
            </w:pPr>
            <w:r>
              <w:rPr>
                <w:rFonts w:ascii="Times New Roman" w:eastAsia="宋体" w:hAnsi="Times New Roman" w:cs="宋体" w:hint="eastAsia"/>
                <w:b/>
                <w:bCs/>
                <w:color w:val="auto"/>
                <w:kern w:val="0"/>
                <w:sz w:val="21"/>
                <w:szCs w:val="22"/>
                <w:highlight w:val="none"/>
              </w:rPr>
              <w:t>合计</w:t>
            </w:r>
          </w:p>
          <w:p>
            <w:pPr>
              <w:widowControl/>
              <w:spacing w:before="0" w:beforeAutospacing="0" w:after="0" w:afterAutospacing="0" w:line="240" w:lineRule="auto"/>
              <w:ind w:left="0" w:firstLine="0" w:leftChars="0" w:firstLineChars="0"/>
              <w:jc w:val="center"/>
              <w:rPr>
                <w:rFonts w:ascii="Times New Roman" w:eastAsia="宋体" w:hAnsi="Times New Roman" w:cs="宋体"/>
                <w:b/>
                <w:bCs/>
                <w:color w:val="auto"/>
                <w:kern w:val="0"/>
                <w:sz w:val="21"/>
                <w:szCs w:val="22"/>
                <w:highlight w:val="none"/>
              </w:rPr>
            </w:pPr>
            <w:r>
              <w:rPr>
                <w:rFonts w:ascii="Times New Roman" w:eastAsia="宋体" w:hAnsi="Times New Roman" w:cs="宋体" w:hint="eastAsia"/>
                <w:b/>
                <w:bCs/>
                <w:color w:val="auto"/>
                <w:kern w:val="0"/>
                <w:sz w:val="21"/>
                <w:szCs w:val="22"/>
                <w:highlight w:val="none"/>
              </w:rPr>
              <w:t>（万元）</w:t>
            </w:r>
          </w:p>
        </w:tc>
      </w:tr>
      <w:tr>
        <w:tblPrEx>
          <w:tblW w:w="10435" w:type="dxa"/>
          <w:jc w:val="center"/>
          <w:tblLayout w:type="fixed"/>
          <w:tblCellMar>
            <w:top w:w="0" w:type="dxa"/>
            <w:left w:w="108" w:type="dxa"/>
            <w:bottom w:w="0" w:type="dxa"/>
            <w:right w:w="108" w:type="dxa"/>
          </w:tblCellMar>
        </w:tblPrEx>
        <w:trPr>
          <w:trHeight w:val="280"/>
          <w:jc w:val="center"/>
        </w:trPr>
        <w:tc>
          <w:tcPr>
            <w:tcW w:w="1238" w:type="dxa"/>
            <w:vMerge w:val="restart"/>
            <w:tcBorders>
              <w:top w:val="nil"/>
              <w:left w:val="single" w:sz="4" w:space="0" w:color="auto"/>
              <w:bottom w:val="single" w:sz="4" w:space="0" w:color="auto"/>
              <w:right w:val="single" w:sz="4" w:space="0" w:color="auto"/>
            </w:tcBorders>
            <w:shd w:val="clear" w:color="auto" w:fill="auto"/>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sz w:val="21"/>
                <w:szCs w:val="22"/>
                <w:highlight w:val="none"/>
              </w:rPr>
            </w:pPr>
            <w:r>
              <w:rPr>
                <w:rFonts w:ascii="Times New Roman" w:eastAsia="宋体" w:hAnsi="Times New Roman" w:cs="宋体" w:hint="eastAsia"/>
                <w:color w:val="auto"/>
                <w:kern w:val="0"/>
                <w:sz w:val="21"/>
                <w:szCs w:val="22"/>
                <w:highlight w:val="none"/>
              </w:rPr>
              <w:t>宏站</w:t>
            </w:r>
          </w:p>
        </w:tc>
        <w:tc>
          <w:tcPr>
            <w:tcW w:w="920"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sz w:val="21"/>
                <w:szCs w:val="22"/>
                <w:highlight w:val="none"/>
              </w:rPr>
            </w:pPr>
            <w:r>
              <w:rPr>
                <w:rFonts w:ascii="Times New Roman" w:eastAsia="宋体" w:hAnsi="Times New Roman" w:cs="宋体" w:hint="eastAsia"/>
                <w:color w:val="auto"/>
                <w:kern w:val="0"/>
                <w:sz w:val="21"/>
                <w:szCs w:val="22"/>
                <w:highlight w:val="none"/>
              </w:rPr>
              <w:t>低配</w:t>
            </w:r>
          </w:p>
        </w:tc>
        <w:tc>
          <w:tcPr>
            <w:tcW w:w="844"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sz w:val="21"/>
                <w:szCs w:val="22"/>
                <w:highlight w:val="none"/>
              </w:rPr>
            </w:pPr>
            <w:r>
              <w:rPr>
                <w:rFonts w:ascii="Times New Roman" w:eastAsia="宋体" w:hAnsi="Times New Roman" w:cs="宋体" w:hint="eastAsia"/>
                <w:color w:val="auto"/>
                <w:kern w:val="0"/>
                <w:sz w:val="21"/>
                <w:szCs w:val="22"/>
                <w:highlight w:val="none"/>
              </w:rPr>
              <w:t>个</w:t>
            </w:r>
          </w:p>
        </w:tc>
        <w:tc>
          <w:tcPr>
            <w:tcW w:w="1596"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sz w:val="21"/>
                <w:szCs w:val="22"/>
                <w:highlight w:val="none"/>
              </w:rPr>
            </w:pPr>
            <w:r>
              <w:rPr>
                <w:rFonts w:ascii="Times New Roman" w:eastAsia="宋体" w:hAnsi="Times New Roman" w:cs="宋体" w:hint="eastAsia"/>
                <w:color w:val="auto"/>
                <w:kern w:val="0"/>
                <w:sz w:val="21"/>
                <w:szCs w:val="22"/>
                <w:highlight w:val="none"/>
              </w:rPr>
              <w:t>6</w:t>
            </w:r>
          </w:p>
        </w:tc>
        <w:tc>
          <w:tcPr>
            <w:tcW w:w="1620"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sz w:val="21"/>
                <w:szCs w:val="22"/>
                <w:highlight w:val="none"/>
              </w:rPr>
            </w:pPr>
            <w:r>
              <w:rPr>
                <w:rFonts w:ascii="Times New Roman" w:eastAsia="宋体" w:hAnsi="Times New Roman" w:cs="宋体" w:hint="eastAsia"/>
                <w:color w:val="auto"/>
                <w:kern w:val="0"/>
                <w:sz w:val="21"/>
                <w:szCs w:val="22"/>
                <w:highlight w:val="none"/>
              </w:rPr>
              <w:t xml:space="preserve">450.00 </w:t>
            </w:r>
          </w:p>
        </w:tc>
        <w:tc>
          <w:tcPr>
            <w:tcW w:w="1376"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sz w:val="21"/>
                <w:szCs w:val="22"/>
                <w:highlight w:val="none"/>
              </w:rPr>
            </w:pPr>
            <w:r>
              <w:rPr>
                <w:rFonts w:ascii="Times New Roman" w:eastAsia="宋体" w:hAnsi="Times New Roman" w:cs="宋体" w:hint="eastAsia"/>
                <w:color w:val="auto"/>
                <w:kern w:val="0"/>
                <w:sz w:val="21"/>
                <w:szCs w:val="22"/>
                <w:highlight w:val="none"/>
              </w:rPr>
              <w:t xml:space="preserve">612.00 </w:t>
            </w:r>
          </w:p>
        </w:tc>
        <w:tc>
          <w:tcPr>
            <w:tcW w:w="1460"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sz w:val="21"/>
                <w:szCs w:val="22"/>
                <w:highlight w:val="none"/>
              </w:rPr>
            </w:pPr>
            <w:r>
              <w:rPr>
                <w:rFonts w:ascii="Times New Roman" w:eastAsia="宋体" w:hAnsi="Times New Roman" w:cs="宋体" w:hint="eastAsia"/>
                <w:color w:val="auto"/>
                <w:kern w:val="0"/>
                <w:sz w:val="21"/>
                <w:szCs w:val="22"/>
                <w:highlight w:val="none"/>
              </w:rPr>
              <w:t>810</w:t>
            </w:r>
            <w:r>
              <w:rPr>
                <w:rFonts w:ascii="Times New Roman" w:eastAsia="宋体" w:hAnsi="Times New Roman" w:cs="宋体" w:hint="eastAsia"/>
                <w:color w:val="auto"/>
                <w:kern w:val="0"/>
                <w:sz w:val="21"/>
                <w:szCs w:val="22"/>
                <w:highlight w:val="none"/>
                <w:lang w:val="en-US" w:eastAsia="zh-CN"/>
              </w:rPr>
              <w:t>.00</w:t>
            </w:r>
          </w:p>
        </w:tc>
        <w:tc>
          <w:tcPr>
            <w:tcW w:w="1381"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sz w:val="21"/>
                <w:szCs w:val="22"/>
                <w:highlight w:val="none"/>
              </w:rPr>
            </w:pPr>
            <w:r>
              <w:rPr>
                <w:rFonts w:ascii="Times New Roman" w:eastAsia="宋体" w:hAnsi="Times New Roman" w:cs="宋体" w:hint="eastAsia"/>
                <w:color w:val="auto"/>
                <w:kern w:val="0"/>
                <w:sz w:val="21"/>
                <w:szCs w:val="22"/>
                <w:highlight w:val="none"/>
              </w:rPr>
              <w:t>1872</w:t>
            </w:r>
            <w:r>
              <w:rPr>
                <w:rFonts w:ascii="Times New Roman" w:eastAsia="宋体" w:hAnsi="Times New Roman" w:cs="宋体" w:hint="eastAsia"/>
                <w:color w:val="auto"/>
                <w:kern w:val="0"/>
                <w:sz w:val="21"/>
                <w:szCs w:val="22"/>
                <w:highlight w:val="none"/>
                <w:lang w:val="en-US" w:eastAsia="zh-CN"/>
              </w:rPr>
              <w:t>.00</w:t>
            </w:r>
          </w:p>
        </w:tc>
      </w:tr>
      <w:tr>
        <w:tblPrEx>
          <w:tblW w:w="10435" w:type="dxa"/>
          <w:jc w:val="center"/>
          <w:tblLayout w:type="fixed"/>
          <w:tblCellMar>
            <w:top w:w="0" w:type="dxa"/>
            <w:left w:w="108" w:type="dxa"/>
            <w:bottom w:w="0" w:type="dxa"/>
            <w:right w:w="108" w:type="dxa"/>
          </w:tblCellMar>
        </w:tblPrEx>
        <w:trPr>
          <w:trHeight w:val="280"/>
          <w:jc w:val="center"/>
        </w:trPr>
        <w:tc>
          <w:tcPr>
            <w:tcW w:w="1238" w:type="dxa"/>
            <w:vMerge/>
            <w:tcBorders>
              <w:top w:val="nil"/>
              <w:left w:val="single" w:sz="4" w:space="0" w:color="auto"/>
              <w:bottom w:val="single" w:sz="4" w:space="0" w:color="auto"/>
              <w:right w:val="single" w:sz="4" w:space="0" w:color="auto"/>
            </w:tcBorders>
            <w:vAlign w:val="center"/>
          </w:tcPr>
          <w:p>
            <w:pPr>
              <w:widowControl/>
              <w:spacing w:before="0" w:beforeAutospacing="0" w:after="0" w:afterAutospacing="0" w:line="240" w:lineRule="auto"/>
              <w:ind w:left="0" w:firstLine="0" w:leftChars="0" w:firstLineChars="0"/>
              <w:jc w:val="left"/>
              <w:rPr>
                <w:rFonts w:ascii="Times New Roman" w:eastAsia="宋体" w:hAnsi="Times New Roman" w:cs="宋体"/>
                <w:color w:val="auto"/>
                <w:kern w:val="0"/>
                <w:sz w:val="21"/>
                <w:szCs w:val="22"/>
                <w:highlight w:val="none"/>
              </w:rPr>
            </w:pPr>
          </w:p>
        </w:tc>
        <w:tc>
          <w:tcPr>
            <w:tcW w:w="920"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sz w:val="21"/>
                <w:szCs w:val="22"/>
                <w:highlight w:val="none"/>
              </w:rPr>
            </w:pPr>
            <w:r>
              <w:rPr>
                <w:rFonts w:ascii="Times New Roman" w:eastAsia="宋体" w:hAnsi="Times New Roman" w:cs="宋体" w:hint="eastAsia"/>
                <w:color w:val="auto"/>
                <w:kern w:val="0"/>
                <w:sz w:val="21"/>
                <w:szCs w:val="22"/>
                <w:highlight w:val="none"/>
              </w:rPr>
              <w:t>中配</w:t>
            </w:r>
          </w:p>
        </w:tc>
        <w:tc>
          <w:tcPr>
            <w:tcW w:w="844"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sz w:val="21"/>
                <w:szCs w:val="22"/>
                <w:highlight w:val="none"/>
              </w:rPr>
            </w:pPr>
            <w:r>
              <w:rPr>
                <w:rFonts w:ascii="Times New Roman" w:eastAsia="宋体" w:hAnsi="Times New Roman" w:cs="宋体" w:hint="eastAsia"/>
                <w:color w:val="auto"/>
                <w:kern w:val="0"/>
                <w:sz w:val="21"/>
                <w:szCs w:val="22"/>
                <w:highlight w:val="none"/>
              </w:rPr>
              <w:t>个</w:t>
            </w:r>
          </w:p>
        </w:tc>
        <w:tc>
          <w:tcPr>
            <w:tcW w:w="1596"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sz w:val="21"/>
                <w:szCs w:val="22"/>
                <w:highlight w:val="none"/>
              </w:rPr>
            </w:pPr>
            <w:r>
              <w:rPr>
                <w:rFonts w:ascii="Times New Roman" w:eastAsia="宋体" w:hAnsi="Times New Roman" w:cs="宋体" w:hint="eastAsia"/>
                <w:color w:val="auto"/>
                <w:kern w:val="0"/>
                <w:sz w:val="21"/>
                <w:szCs w:val="22"/>
                <w:highlight w:val="none"/>
              </w:rPr>
              <w:t>12</w:t>
            </w:r>
          </w:p>
        </w:tc>
        <w:tc>
          <w:tcPr>
            <w:tcW w:w="1620"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sz w:val="21"/>
                <w:szCs w:val="22"/>
                <w:highlight w:val="none"/>
              </w:rPr>
            </w:pPr>
            <w:r>
              <w:rPr>
                <w:rFonts w:ascii="Times New Roman" w:eastAsia="宋体" w:hAnsi="Times New Roman" w:cs="宋体" w:hint="eastAsia"/>
                <w:color w:val="auto"/>
                <w:kern w:val="0"/>
                <w:sz w:val="21"/>
                <w:szCs w:val="22"/>
                <w:highlight w:val="none"/>
              </w:rPr>
              <w:t xml:space="preserve">10896.00 </w:t>
            </w:r>
          </w:p>
        </w:tc>
        <w:tc>
          <w:tcPr>
            <w:tcW w:w="1376"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sz w:val="21"/>
                <w:szCs w:val="22"/>
                <w:highlight w:val="none"/>
              </w:rPr>
            </w:pPr>
            <w:r>
              <w:rPr>
                <w:rFonts w:ascii="Times New Roman" w:eastAsia="宋体" w:hAnsi="Times New Roman" w:cs="宋体" w:hint="eastAsia"/>
                <w:color w:val="auto"/>
                <w:kern w:val="0"/>
                <w:sz w:val="21"/>
                <w:szCs w:val="22"/>
                <w:highlight w:val="none"/>
              </w:rPr>
              <w:t xml:space="preserve">28308.00 </w:t>
            </w:r>
          </w:p>
        </w:tc>
        <w:tc>
          <w:tcPr>
            <w:tcW w:w="1460"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sz w:val="21"/>
                <w:szCs w:val="22"/>
                <w:highlight w:val="none"/>
              </w:rPr>
            </w:pPr>
            <w:r>
              <w:rPr>
                <w:rFonts w:ascii="Times New Roman" w:eastAsia="宋体" w:hAnsi="Times New Roman" w:cs="宋体" w:hint="eastAsia"/>
                <w:color w:val="auto"/>
                <w:kern w:val="0"/>
                <w:sz w:val="21"/>
                <w:szCs w:val="22"/>
                <w:highlight w:val="none"/>
              </w:rPr>
              <w:t>21036</w:t>
            </w:r>
            <w:r>
              <w:rPr>
                <w:rFonts w:ascii="Times New Roman" w:eastAsia="宋体" w:hAnsi="Times New Roman" w:cs="宋体" w:hint="eastAsia"/>
                <w:color w:val="auto"/>
                <w:kern w:val="0"/>
                <w:sz w:val="21"/>
                <w:szCs w:val="22"/>
                <w:highlight w:val="none"/>
                <w:lang w:val="en-US" w:eastAsia="zh-CN"/>
              </w:rPr>
              <w:t>.00</w:t>
            </w:r>
            <w:r>
              <w:rPr>
                <w:rFonts w:ascii="Times New Roman" w:eastAsia="宋体" w:hAnsi="Times New Roman" w:cs="宋体" w:hint="eastAsia"/>
                <w:color w:val="auto"/>
                <w:kern w:val="0"/>
                <w:sz w:val="21"/>
                <w:szCs w:val="22"/>
                <w:highlight w:val="none"/>
              </w:rPr>
              <w:t xml:space="preserve"> </w:t>
            </w:r>
          </w:p>
        </w:tc>
        <w:tc>
          <w:tcPr>
            <w:tcW w:w="1381"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sz w:val="21"/>
                <w:szCs w:val="22"/>
                <w:highlight w:val="none"/>
              </w:rPr>
            </w:pPr>
            <w:r>
              <w:rPr>
                <w:rFonts w:ascii="Times New Roman" w:eastAsia="宋体" w:hAnsi="Times New Roman" w:cs="宋体" w:hint="eastAsia"/>
                <w:color w:val="auto"/>
                <w:kern w:val="0"/>
                <w:sz w:val="21"/>
                <w:szCs w:val="22"/>
                <w:highlight w:val="none"/>
              </w:rPr>
              <w:t>60240</w:t>
            </w:r>
            <w:r>
              <w:rPr>
                <w:rFonts w:ascii="Times New Roman" w:eastAsia="宋体" w:hAnsi="Times New Roman" w:cs="宋体" w:hint="eastAsia"/>
                <w:color w:val="auto"/>
                <w:kern w:val="0"/>
                <w:sz w:val="21"/>
                <w:szCs w:val="22"/>
                <w:highlight w:val="none"/>
                <w:lang w:val="en-US" w:eastAsia="zh-CN"/>
              </w:rPr>
              <w:t>.00</w:t>
            </w:r>
            <w:r>
              <w:rPr>
                <w:rFonts w:ascii="Times New Roman" w:eastAsia="宋体" w:hAnsi="Times New Roman" w:cs="宋体" w:hint="eastAsia"/>
                <w:color w:val="auto"/>
                <w:kern w:val="0"/>
                <w:sz w:val="21"/>
                <w:szCs w:val="22"/>
                <w:highlight w:val="none"/>
              </w:rPr>
              <w:t xml:space="preserve"> </w:t>
            </w:r>
          </w:p>
        </w:tc>
      </w:tr>
      <w:tr>
        <w:tblPrEx>
          <w:tblW w:w="10435" w:type="dxa"/>
          <w:jc w:val="center"/>
          <w:tblLayout w:type="fixed"/>
          <w:tblCellMar>
            <w:top w:w="0" w:type="dxa"/>
            <w:left w:w="108" w:type="dxa"/>
            <w:bottom w:w="0" w:type="dxa"/>
            <w:right w:w="108" w:type="dxa"/>
          </w:tblCellMar>
        </w:tblPrEx>
        <w:trPr>
          <w:trHeight w:val="280"/>
          <w:jc w:val="center"/>
        </w:trPr>
        <w:tc>
          <w:tcPr>
            <w:tcW w:w="1238" w:type="dxa"/>
            <w:vMerge/>
            <w:tcBorders>
              <w:top w:val="nil"/>
              <w:left w:val="single" w:sz="4" w:space="0" w:color="auto"/>
              <w:bottom w:val="single" w:sz="4" w:space="0" w:color="auto"/>
              <w:right w:val="single" w:sz="4" w:space="0" w:color="auto"/>
            </w:tcBorders>
            <w:vAlign w:val="center"/>
          </w:tcPr>
          <w:p>
            <w:pPr>
              <w:widowControl/>
              <w:spacing w:before="0" w:beforeAutospacing="0" w:after="0" w:afterAutospacing="0" w:line="240" w:lineRule="auto"/>
              <w:ind w:left="0" w:firstLine="0" w:leftChars="0" w:firstLineChars="0"/>
              <w:jc w:val="left"/>
              <w:rPr>
                <w:rFonts w:ascii="Times New Roman" w:eastAsia="宋体" w:hAnsi="Times New Roman" w:cs="宋体"/>
                <w:color w:val="auto"/>
                <w:kern w:val="0"/>
                <w:sz w:val="21"/>
                <w:szCs w:val="22"/>
                <w:highlight w:val="none"/>
              </w:rPr>
            </w:pPr>
          </w:p>
        </w:tc>
        <w:tc>
          <w:tcPr>
            <w:tcW w:w="920"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sz w:val="21"/>
                <w:szCs w:val="22"/>
                <w:highlight w:val="none"/>
              </w:rPr>
            </w:pPr>
            <w:r>
              <w:rPr>
                <w:rFonts w:ascii="Times New Roman" w:eastAsia="宋体" w:hAnsi="Times New Roman" w:cs="宋体" w:hint="eastAsia"/>
                <w:color w:val="auto"/>
                <w:kern w:val="0"/>
                <w:sz w:val="21"/>
                <w:szCs w:val="22"/>
                <w:highlight w:val="none"/>
              </w:rPr>
              <w:t>高配</w:t>
            </w:r>
          </w:p>
        </w:tc>
        <w:tc>
          <w:tcPr>
            <w:tcW w:w="844"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sz w:val="21"/>
                <w:szCs w:val="22"/>
                <w:highlight w:val="none"/>
              </w:rPr>
            </w:pPr>
            <w:r>
              <w:rPr>
                <w:rFonts w:ascii="Times New Roman" w:eastAsia="宋体" w:hAnsi="Times New Roman" w:cs="宋体" w:hint="eastAsia"/>
                <w:color w:val="auto"/>
                <w:kern w:val="0"/>
                <w:sz w:val="21"/>
                <w:szCs w:val="22"/>
                <w:highlight w:val="none"/>
              </w:rPr>
              <w:t>个</w:t>
            </w:r>
          </w:p>
        </w:tc>
        <w:tc>
          <w:tcPr>
            <w:tcW w:w="1596"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sz w:val="21"/>
                <w:szCs w:val="22"/>
                <w:highlight w:val="none"/>
              </w:rPr>
            </w:pPr>
            <w:r>
              <w:rPr>
                <w:rFonts w:ascii="Times New Roman" w:eastAsia="宋体" w:hAnsi="Times New Roman" w:cs="宋体" w:hint="eastAsia"/>
                <w:color w:val="auto"/>
                <w:kern w:val="0"/>
                <w:sz w:val="21"/>
                <w:szCs w:val="22"/>
                <w:highlight w:val="none"/>
              </w:rPr>
              <w:t>25</w:t>
            </w:r>
          </w:p>
        </w:tc>
        <w:tc>
          <w:tcPr>
            <w:tcW w:w="1620"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sz w:val="21"/>
                <w:szCs w:val="22"/>
                <w:highlight w:val="none"/>
              </w:rPr>
            </w:pPr>
            <w:r>
              <w:rPr>
                <w:rFonts w:ascii="Times New Roman" w:eastAsia="宋体" w:hAnsi="Times New Roman" w:cs="宋体" w:hint="eastAsia"/>
                <w:color w:val="auto"/>
                <w:kern w:val="0"/>
                <w:sz w:val="21"/>
                <w:szCs w:val="22"/>
                <w:highlight w:val="none"/>
              </w:rPr>
              <w:t xml:space="preserve">75225.00 </w:t>
            </w:r>
          </w:p>
        </w:tc>
        <w:tc>
          <w:tcPr>
            <w:tcW w:w="1376"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sz w:val="21"/>
                <w:szCs w:val="22"/>
                <w:highlight w:val="none"/>
              </w:rPr>
            </w:pPr>
            <w:r>
              <w:rPr>
                <w:rFonts w:ascii="Times New Roman" w:eastAsia="宋体" w:hAnsi="Times New Roman" w:cs="宋体" w:hint="eastAsia"/>
                <w:color w:val="auto"/>
                <w:kern w:val="0"/>
                <w:sz w:val="21"/>
                <w:szCs w:val="22"/>
                <w:highlight w:val="none"/>
              </w:rPr>
              <w:t xml:space="preserve">51725.00 </w:t>
            </w:r>
          </w:p>
        </w:tc>
        <w:tc>
          <w:tcPr>
            <w:tcW w:w="1460"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sz w:val="21"/>
                <w:szCs w:val="22"/>
                <w:highlight w:val="none"/>
              </w:rPr>
            </w:pPr>
            <w:r>
              <w:rPr>
                <w:rFonts w:ascii="Times New Roman" w:eastAsia="宋体" w:hAnsi="Times New Roman" w:cs="宋体" w:hint="eastAsia"/>
                <w:color w:val="auto"/>
                <w:kern w:val="0"/>
                <w:sz w:val="21"/>
                <w:szCs w:val="22"/>
                <w:highlight w:val="none"/>
              </w:rPr>
              <w:t>31675</w:t>
            </w:r>
            <w:r>
              <w:rPr>
                <w:rFonts w:ascii="Times New Roman" w:eastAsia="宋体" w:hAnsi="Times New Roman" w:cs="宋体" w:hint="eastAsia"/>
                <w:color w:val="auto"/>
                <w:kern w:val="0"/>
                <w:sz w:val="21"/>
                <w:szCs w:val="22"/>
                <w:highlight w:val="none"/>
                <w:lang w:val="en-US" w:eastAsia="zh-CN"/>
              </w:rPr>
              <w:t>.00</w:t>
            </w:r>
            <w:r>
              <w:rPr>
                <w:rFonts w:ascii="Times New Roman" w:eastAsia="宋体" w:hAnsi="Times New Roman" w:cs="宋体" w:hint="eastAsia"/>
                <w:color w:val="auto"/>
                <w:kern w:val="0"/>
                <w:sz w:val="21"/>
                <w:szCs w:val="22"/>
                <w:highlight w:val="none"/>
              </w:rPr>
              <w:t xml:space="preserve"> </w:t>
            </w:r>
          </w:p>
        </w:tc>
        <w:tc>
          <w:tcPr>
            <w:tcW w:w="1381"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sz w:val="21"/>
                <w:szCs w:val="22"/>
                <w:highlight w:val="none"/>
              </w:rPr>
            </w:pPr>
            <w:r>
              <w:rPr>
                <w:rFonts w:ascii="Times New Roman" w:eastAsia="宋体" w:hAnsi="Times New Roman" w:cs="宋体" w:hint="eastAsia"/>
                <w:color w:val="auto"/>
                <w:kern w:val="0"/>
                <w:sz w:val="21"/>
                <w:szCs w:val="22"/>
                <w:highlight w:val="none"/>
              </w:rPr>
              <w:t>158625</w:t>
            </w:r>
            <w:r>
              <w:rPr>
                <w:rFonts w:ascii="Times New Roman" w:eastAsia="宋体" w:hAnsi="Times New Roman" w:cs="宋体" w:hint="eastAsia"/>
                <w:color w:val="auto"/>
                <w:kern w:val="0"/>
                <w:sz w:val="21"/>
                <w:szCs w:val="22"/>
                <w:highlight w:val="none"/>
                <w:lang w:val="en-US" w:eastAsia="zh-CN"/>
              </w:rPr>
              <w:t>.00</w:t>
            </w:r>
            <w:r>
              <w:rPr>
                <w:rFonts w:ascii="Times New Roman" w:eastAsia="宋体" w:hAnsi="Times New Roman" w:cs="宋体" w:hint="eastAsia"/>
                <w:color w:val="auto"/>
                <w:kern w:val="0"/>
                <w:sz w:val="21"/>
                <w:szCs w:val="22"/>
                <w:highlight w:val="none"/>
              </w:rPr>
              <w:t xml:space="preserve"> </w:t>
            </w:r>
          </w:p>
        </w:tc>
      </w:tr>
      <w:tr>
        <w:tblPrEx>
          <w:tblW w:w="10435" w:type="dxa"/>
          <w:jc w:val="center"/>
          <w:tblLayout w:type="fixed"/>
          <w:tblCellMar>
            <w:top w:w="0" w:type="dxa"/>
            <w:left w:w="108" w:type="dxa"/>
            <w:bottom w:w="0" w:type="dxa"/>
            <w:right w:w="108" w:type="dxa"/>
          </w:tblCellMar>
        </w:tblPrEx>
        <w:trPr>
          <w:trHeight w:val="280"/>
          <w:jc w:val="center"/>
        </w:trPr>
        <w:tc>
          <w:tcPr>
            <w:tcW w:w="905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sz w:val="21"/>
                <w:szCs w:val="22"/>
                <w:highlight w:val="none"/>
              </w:rPr>
            </w:pPr>
            <w:r>
              <w:rPr>
                <w:rFonts w:ascii="Times New Roman" w:eastAsia="宋体" w:hAnsi="Times New Roman" w:cs="宋体" w:hint="eastAsia"/>
                <w:color w:val="auto"/>
                <w:kern w:val="0"/>
                <w:sz w:val="21"/>
                <w:szCs w:val="22"/>
                <w:highlight w:val="none"/>
              </w:rPr>
              <w:t>合计</w:t>
            </w:r>
          </w:p>
        </w:tc>
        <w:tc>
          <w:tcPr>
            <w:tcW w:w="1381"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color w:val="auto"/>
                <w:kern w:val="0"/>
                <w:sz w:val="21"/>
                <w:szCs w:val="22"/>
                <w:highlight w:val="none"/>
              </w:rPr>
            </w:pPr>
            <w:r>
              <w:rPr>
                <w:rFonts w:ascii="Times New Roman" w:eastAsia="宋体" w:hAnsi="Times New Roman" w:cs="宋体" w:hint="eastAsia"/>
                <w:color w:val="auto"/>
                <w:kern w:val="0"/>
                <w:sz w:val="21"/>
                <w:szCs w:val="22"/>
                <w:highlight w:val="none"/>
              </w:rPr>
              <w:t>220737</w:t>
            </w:r>
            <w:r>
              <w:rPr>
                <w:rFonts w:ascii="Times New Roman" w:eastAsia="宋体" w:hAnsi="Times New Roman" w:cs="宋体" w:hint="eastAsia"/>
                <w:color w:val="auto"/>
                <w:kern w:val="0"/>
                <w:sz w:val="21"/>
                <w:szCs w:val="22"/>
                <w:highlight w:val="none"/>
                <w:lang w:val="en-US" w:eastAsia="zh-CN"/>
              </w:rPr>
              <w:t>.00</w:t>
            </w:r>
            <w:r>
              <w:rPr>
                <w:rFonts w:ascii="Times New Roman" w:eastAsia="宋体" w:hAnsi="Times New Roman" w:cs="宋体" w:hint="eastAsia"/>
                <w:color w:val="auto"/>
                <w:kern w:val="0"/>
                <w:sz w:val="21"/>
                <w:szCs w:val="22"/>
                <w:highlight w:val="none"/>
              </w:rPr>
              <w:t xml:space="preserve"> </w:t>
            </w:r>
          </w:p>
        </w:tc>
      </w:tr>
    </w:tbl>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lang w:val="en-US" w:eastAsia="zh-CN"/>
        </w:rPr>
        <w:t>2、</w:t>
      </w:r>
      <w:r>
        <w:rPr>
          <w:rFonts w:ascii="Times New Roman" w:eastAsia="宋体" w:hAnsi="Times New Roman" w:hint="eastAsia"/>
          <w:color w:val="auto"/>
          <w:sz w:val="24"/>
          <w:highlight w:val="none"/>
        </w:rPr>
        <w:t>室内分布投资估算</w:t>
      </w:r>
    </w:p>
    <w:p>
      <w:pPr>
        <w:pStyle w:val="Body"/>
        <w:spacing w:after="0" w:line="240" w:lineRule="auto"/>
        <w:ind w:right="0" w:firstLine="480"/>
        <w:rPr>
          <w:color w:val="auto"/>
          <w:highlight w:val="none"/>
        </w:rPr>
      </w:pPr>
      <w:r>
        <w:rPr>
          <w:rFonts w:hint="eastAsia"/>
          <w:color w:val="auto"/>
          <w:highlight w:val="none"/>
        </w:rPr>
        <w:t>玉林市室内分布系统目标网（2021-2035年）总投资为123668.08万元；其中，近期规划（2021-2025年）投资为38985.24万元；中期规划（2026-2030年）投资为37547.07万元；远期规划（2031-2035年）投资为47135.77万元；本规划投资如下表所示。</w:t>
      </w:r>
    </w:p>
    <w:p>
      <w:pPr>
        <w:pStyle w:val="10"/>
        <w:spacing w:line="240" w:lineRule="auto"/>
        <w:ind w:left="0" w:firstLine="0" w:firstLineChars="0"/>
        <w:jc w:val="center"/>
        <w:rPr>
          <w:rFonts w:ascii="Times New Roman" w:eastAsia="宋体" w:hAnsi="Times New Roman" w:hint="eastAsia"/>
          <w:b/>
          <w:bCs/>
          <w:color w:val="auto"/>
          <w:szCs w:val="21"/>
          <w:highlight w:val="none"/>
        </w:rPr>
      </w:pPr>
      <w:r>
        <w:rPr>
          <w:rFonts w:ascii="Times New Roman" w:eastAsia="宋体" w:hAnsi="Times New Roman" w:hint="eastAsia"/>
          <w:b/>
          <w:bCs/>
          <w:color w:val="auto"/>
          <w:szCs w:val="21"/>
          <w:highlight w:val="none"/>
          <w:lang w:val="en-US" w:eastAsia="zh-CN"/>
        </w:rPr>
        <w:t xml:space="preserve">表13-3 </w:t>
      </w:r>
      <w:r>
        <w:rPr>
          <w:rFonts w:ascii="Times New Roman" w:eastAsia="宋体" w:hAnsi="Times New Roman" w:hint="eastAsia"/>
          <w:b/>
          <w:bCs/>
          <w:color w:val="auto"/>
          <w:szCs w:val="21"/>
          <w:highlight w:val="none"/>
        </w:rPr>
        <w:t>室内分布系统目标网投资估算表（配套部分）</w:t>
      </w:r>
    </w:p>
    <w:tbl>
      <w:tblPr>
        <w:tblStyle w:val="TableNormal"/>
        <w:tblW w:w="9803" w:type="dxa"/>
        <w:jc w:val="center"/>
        <w:tblCellMar>
          <w:top w:w="0" w:type="dxa"/>
          <w:left w:w="108" w:type="dxa"/>
          <w:bottom w:w="0" w:type="dxa"/>
          <w:right w:w="108" w:type="dxa"/>
        </w:tblCellMar>
      </w:tblPr>
      <w:tblGrid>
        <w:gridCol w:w="1843"/>
        <w:gridCol w:w="800"/>
        <w:gridCol w:w="1220"/>
        <w:gridCol w:w="1320"/>
        <w:gridCol w:w="1500"/>
        <w:gridCol w:w="1620"/>
        <w:gridCol w:w="1500"/>
      </w:tblGrid>
      <w:tr>
        <w:tblPrEx>
          <w:tblW w:w="9803" w:type="dxa"/>
          <w:jc w:val="center"/>
          <w:tblCellMar>
            <w:top w:w="0" w:type="dxa"/>
            <w:left w:w="108" w:type="dxa"/>
            <w:bottom w:w="0" w:type="dxa"/>
            <w:right w:w="108" w:type="dxa"/>
          </w:tblCellMar>
        </w:tblPrEx>
        <w:trPr>
          <w:trHeight w:val="28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宋体" w:hAnsi="宋体" w:cs="宋体"/>
                <w:b/>
                <w:bCs/>
                <w:color w:val="auto"/>
                <w:kern w:val="0"/>
                <w:highlight w:val="none"/>
              </w:rPr>
            </w:pPr>
            <w:r>
              <w:rPr>
                <w:rFonts w:ascii="宋体" w:hAnsi="宋体" w:cs="宋体" w:hint="eastAsia"/>
                <w:b/>
                <w:bCs/>
                <w:color w:val="auto"/>
                <w:kern w:val="0"/>
                <w:highlight w:val="none"/>
              </w:rPr>
              <w:t>无线配套项目</w:t>
            </w:r>
          </w:p>
        </w:tc>
        <w:tc>
          <w:tcPr>
            <w:tcW w:w="800" w:type="dxa"/>
            <w:tcBorders>
              <w:top w:val="single" w:sz="4" w:space="0" w:color="auto"/>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宋体" w:hAnsi="宋体" w:cs="宋体"/>
                <w:b/>
                <w:bCs/>
                <w:color w:val="auto"/>
                <w:kern w:val="0"/>
                <w:highlight w:val="none"/>
              </w:rPr>
            </w:pPr>
            <w:r>
              <w:rPr>
                <w:rFonts w:ascii="宋体" w:hAnsi="宋体" w:cs="宋体" w:hint="eastAsia"/>
                <w:b/>
                <w:bCs/>
                <w:color w:val="auto"/>
                <w:kern w:val="0"/>
                <w:highlight w:val="none"/>
              </w:rPr>
              <w:t>单位</w:t>
            </w:r>
          </w:p>
        </w:tc>
        <w:tc>
          <w:tcPr>
            <w:tcW w:w="1220" w:type="dxa"/>
            <w:tcBorders>
              <w:top w:val="single" w:sz="4" w:space="0" w:color="auto"/>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宋体" w:hAnsi="宋体" w:cs="宋体" w:hint="eastAsia"/>
                <w:b/>
                <w:bCs/>
                <w:color w:val="auto"/>
                <w:kern w:val="0"/>
                <w:highlight w:val="none"/>
              </w:rPr>
            </w:pPr>
            <w:r>
              <w:rPr>
                <w:rFonts w:ascii="宋体" w:hAnsi="宋体" w:cs="宋体" w:hint="eastAsia"/>
                <w:b/>
                <w:bCs/>
                <w:color w:val="auto"/>
                <w:kern w:val="0"/>
                <w:highlight w:val="none"/>
              </w:rPr>
              <w:t>单价</w:t>
            </w:r>
          </w:p>
          <w:p>
            <w:pPr>
              <w:widowControl/>
              <w:spacing w:before="0" w:beforeAutospacing="0" w:after="0" w:afterAutospacing="0" w:line="240" w:lineRule="auto"/>
              <w:ind w:left="0" w:firstLine="0" w:firstLineChars="0"/>
              <w:jc w:val="center"/>
              <w:rPr>
                <w:rFonts w:ascii="宋体" w:hAnsi="宋体" w:cs="宋体"/>
                <w:b/>
                <w:bCs/>
                <w:color w:val="auto"/>
                <w:kern w:val="0"/>
                <w:highlight w:val="none"/>
              </w:rPr>
            </w:pPr>
            <w:r>
              <w:rPr>
                <w:rFonts w:ascii="宋体" w:hAnsi="宋体" w:cs="宋体" w:hint="eastAsia"/>
                <w:b/>
                <w:bCs/>
                <w:color w:val="auto"/>
                <w:kern w:val="0"/>
                <w:highlight w:val="none"/>
              </w:rPr>
              <w:t>（万元）</w:t>
            </w:r>
          </w:p>
        </w:tc>
        <w:tc>
          <w:tcPr>
            <w:tcW w:w="1320" w:type="dxa"/>
            <w:tcBorders>
              <w:top w:val="single" w:sz="4" w:space="0" w:color="auto"/>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宋体" w:hAnsi="宋体" w:cs="宋体" w:hint="eastAsia"/>
                <w:b/>
                <w:bCs/>
                <w:color w:val="auto"/>
                <w:kern w:val="0"/>
                <w:highlight w:val="none"/>
              </w:rPr>
            </w:pPr>
            <w:r>
              <w:rPr>
                <w:rFonts w:ascii="宋体" w:hAnsi="宋体" w:cs="宋体" w:hint="eastAsia"/>
                <w:b/>
                <w:bCs/>
                <w:color w:val="auto"/>
                <w:kern w:val="0"/>
                <w:highlight w:val="none"/>
              </w:rPr>
              <w:t>近期</w:t>
            </w:r>
          </w:p>
          <w:p>
            <w:pPr>
              <w:widowControl/>
              <w:spacing w:before="0" w:beforeAutospacing="0" w:after="0" w:afterAutospacing="0" w:line="240" w:lineRule="auto"/>
              <w:ind w:left="0" w:firstLine="0" w:firstLineChars="0"/>
              <w:jc w:val="center"/>
              <w:rPr>
                <w:rFonts w:ascii="宋体" w:hAnsi="宋体" w:cs="宋体"/>
                <w:b/>
                <w:bCs/>
                <w:color w:val="auto"/>
                <w:kern w:val="0"/>
                <w:highlight w:val="none"/>
              </w:rPr>
            </w:pPr>
            <w:r>
              <w:rPr>
                <w:rFonts w:ascii="宋体" w:hAnsi="宋体" w:cs="宋体" w:hint="eastAsia"/>
                <w:b/>
                <w:bCs/>
                <w:color w:val="auto"/>
                <w:kern w:val="0"/>
                <w:highlight w:val="none"/>
              </w:rPr>
              <w:t>（万元）</w:t>
            </w:r>
          </w:p>
        </w:tc>
        <w:tc>
          <w:tcPr>
            <w:tcW w:w="1500" w:type="dxa"/>
            <w:tcBorders>
              <w:top w:val="single" w:sz="4" w:space="0" w:color="auto"/>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宋体" w:hAnsi="宋体" w:cs="宋体" w:hint="eastAsia"/>
                <w:b/>
                <w:bCs/>
                <w:color w:val="auto"/>
                <w:kern w:val="0"/>
                <w:highlight w:val="none"/>
              </w:rPr>
            </w:pPr>
            <w:r>
              <w:rPr>
                <w:rFonts w:ascii="宋体" w:hAnsi="宋体" w:cs="宋体" w:hint="eastAsia"/>
                <w:b/>
                <w:bCs/>
                <w:color w:val="auto"/>
                <w:kern w:val="0"/>
                <w:highlight w:val="none"/>
              </w:rPr>
              <w:t>中期</w:t>
            </w:r>
          </w:p>
          <w:p>
            <w:pPr>
              <w:widowControl/>
              <w:spacing w:before="0" w:beforeAutospacing="0" w:after="0" w:afterAutospacing="0" w:line="240" w:lineRule="auto"/>
              <w:ind w:left="0" w:firstLine="0" w:firstLineChars="0"/>
              <w:jc w:val="center"/>
              <w:rPr>
                <w:rFonts w:ascii="宋体" w:hAnsi="宋体" w:cs="宋体"/>
                <w:b/>
                <w:bCs/>
                <w:color w:val="auto"/>
                <w:kern w:val="0"/>
                <w:highlight w:val="none"/>
              </w:rPr>
            </w:pPr>
            <w:r>
              <w:rPr>
                <w:rFonts w:ascii="宋体" w:hAnsi="宋体" w:cs="宋体" w:hint="eastAsia"/>
                <w:b/>
                <w:bCs/>
                <w:color w:val="auto"/>
                <w:kern w:val="0"/>
                <w:highlight w:val="none"/>
              </w:rPr>
              <w:t>（万元）</w:t>
            </w:r>
          </w:p>
        </w:tc>
        <w:tc>
          <w:tcPr>
            <w:tcW w:w="1620" w:type="dxa"/>
            <w:tcBorders>
              <w:top w:val="single" w:sz="4" w:space="0" w:color="auto"/>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宋体" w:hAnsi="宋体" w:cs="宋体" w:hint="eastAsia"/>
                <w:b/>
                <w:bCs/>
                <w:color w:val="auto"/>
                <w:kern w:val="0"/>
                <w:highlight w:val="none"/>
              </w:rPr>
            </w:pPr>
            <w:r>
              <w:rPr>
                <w:rFonts w:ascii="宋体" w:hAnsi="宋体" w:cs="宋体" w:hint="eastAsia"/>
                <w:b/>
                <w:bCs/>
                <w:color w:val="auto"/>
                <w:kern w:val="0"/>
                <w:highlight w:val="none"/>
              </w:rPr>
              <w:t>远期</w:t>
            </w:r>
          </w:p>
          <w:p>
            <w:pPr>
              <w:widowControl/>
              <w:spacing w:before="0" w:beforeAutospacing="0" w:after="0" w:afterAutospacing="0" w:line="240" w:lineRule="auto"/>
              <w:ind w:left="0" w:firstLine="0" w:firstLineChars="0"/>
              <w:jc w:val="center"/>
              <w:rPr>
                <w:rFonts w:ascii="宋体" w:hAnsi="宋体" w:cs="宋体"/>
                <w:b/>
                <w:bCs/>
                <w:color w:val="auto"/>
                <w:kern w:val="0"/>
                <w:highlight w:val="none"/>
              </w:rPr>
            </w:pPr>
            <w:r>
              <w:rPr>
                <w:rFonts w:ascii="宋体" w:hAnsi="宋体" w:cs="宋体" w:hint="eastAsia"/>
                <w:b/>
                <w:bCs/>
                <w:color w:val="auto"/>
                <w:kern w:val="0"/>
                <w:highlight w:val="none"/>
              </w:rPr>
              <w:t>（万元）</w:t>
            </w:r>
          </w:p>
        </w:tc>
        <w:tc>
          <w:tcPr>
            <w:tcW w:w="1500" w:type="dxa"/>
            <w:tcBorders>
              <w:top w:val="single" w:sz="4" w:space="0" w:color="auto"/>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宋体" w:hAnsi="宋体" w:cs="宋体" w:hint="eastAsia"/>
                <w:b/>
                <w:bCs/>
                <w:color w:val="auto"/>
                <w:kern w:val="0"/>
                <w:highlight w:val="none"/>
              </w:rPr>
            </w:pPr>
            <w:r>
              <w:rPr>
                <w:rFonts w:ascii="宋体" w:hAnsi="宋体" w:cs="宋体" w:hint="eastAsia"/>
                <w:b/>
                <w:bCs/>
                <w:color w:val="auto"/>
                <w:kern w:val="0"/>
                <w:highlight w:val="none"/>
              </w:rPr>
              <w:t>合计</w:t>
            </w:r>
          </w:p>
          <w:p>
            <w:pPr>
              <w:widowControl/>
              <w:spacing w:before="0" w:beforeAutospacing="0" w:after="0" w:afterAutospacing="0" w:line="240" w:lineRule="auto"/>
              <w:ind w:left="0" w:firstLine="0" w:firstLineChars="0"/>
              <w:jc w:val="center"/>
              <w:rPr>
                <w:rFonts w:ascii="宋体" w:hAnsi="宋体" w:cs="宋体"/>
                <w:b/>
                <w:bCs/>
                <w:color w:val="auto"/>
                <w:kern w:val="0"/>
                <w:highlight w:val="none"/>
              </w:rPr>
            </w:pPr>
            <w:r>
              <w:rPr>
                <w:rFonts w:ascii="宋体" w:hAnsi="宋体" w:cs="宋体" w:hint="eastAsia"/>
                <w:b/>
                <w:bCs/>
                <w:color w:val="auto"/>
                <w:kern w:val="0"/>
                <w:highlight w:val="none"/>
              </w:rPr>
              <w:t>（万元）</w:t>
            </w:r>
          </w:p>
        </w:tc>
      </w:tr>
      <w:tr>
        <w:tblPrEx>
          <w:tblW w:w="9803" w:type="dxa"/>
          <w:jc w:val="center"/>
          <w:tblCellMar>
            <w:top w:w="0" w:type="dxa"/>
            <w:left w:w="108" w:type="dxa"/>
            <w:bottom w:w="0" w:type="dxa"/>
            <w:right w:w="108" w:type="dxa"/>
          </w:tblCellMar>
        </w:tblPrEx>
        <w:trPr>
          <w:trHeight w:val="280"/>
          <w:jc w:val="center"/>
        </w:trPr>
        <w:tc>
          <w:tcPr>
            <w:tcW w:w="1843" w:type="dxa"/>
            <w:tcBorders>
              <w:top w:val="single" w:sz="4" w:space="0" w:color="auto"/>
              <w:left w:val="single" w:sz="4" w:space="0" w:color="auto"/>
              <w:bottom w:val="single" w:sz="4" w:space="0" w:color="auto"/>
              <w:right w:val="single" w:sz="4" w:space="0" w:color="000000"/>
            </w:tcBorders>
            <w:shd w:val="clear" w:color="auto" w:fill="auto"/>
            <w:noWrap/>
            <w:vAlign w:val="center"/>
          </w:tcPr>
          <w:p>
            <w:pPr>
              <w:widowControl/>
              <w:spacing w:before="0" w:beforeAutospacing="0" w:after="0" w:afterAutospacing="0" w:line="240" w:lineRule="auto"/>
              <w:ind w:left="0" w:firstLine="0" w:firstLineChars="0"/>
              <w:jc w:val="center"/>
              <w:rPr>
                <w:rFonts w:ascii="宋体" w:hAnsi="宋体" w:cs="宋体"/>
                <w:color w:val="auto"/>
                <w:kern w:val="0"/>
                <w:highlight w:val="none"/>
              </w:rPr>
            </w:pPr>
            <w:r>
              <w:rPr>
                <w:rFonts w:ascii="宋体" w:hAnsi="宋体" w:cs="宋体" w:hint="eastAsia"/>
                <w:color w:val="auto"/>
                <w:kern w:val="0"/>
                <w:highlight w:val="none"/>
              </w:rPr>
              <w:t>室分</w:t>
            </w:r>
          </w:p>
        </w:tc>
        <w:tc>
          <w:tcPr>
            <w:tcW w:w="800"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宋体" w:hAnsi="宋体" w:cs="宋体"/>
                <w:color w:val="auto"/>
                <w:kern w:val="0"/>
                <w:highlight w:val="none"/>
              </w:rPr>
            </w:pPr>
            <w:r>
              <w:rPr>
                <w:rFonts w:ascii="宋体" w:hAnsi="宋体" w:cs="宋体" w:hint="eastAsia"/>
                <w:color w:val="auto"/>
                <w:kern w:val="0"/>
                <w:highlight w:val="none"/>
              </w:rPr>
              <w:t>m2</w:t>
            </w:r>
          </w:p>
        </w:tc>
        <w:tc>
          <w:tcPr>
            <w:tcW w:w="1220"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宋体" w:hAnsi="宋体" w:cs="宋体"/>
                <w:color w:val="auto"/>
                <w:kern w:val="0"/>
                <w:highlight w:val="none"/>
              </w:rPr>
            </w:pPr>
            <w:r>
              <w:rPr>
                <w:rFonts w:ascii="宋体" w:hAnsi="宋体" w:cs="宋体" w:hint="eastAsia"/>
                <w:color w:val="auto"/>
                <w:kern w:val="0"/>
                <w:highlight w:val="none"/>
              </w:rPr>
              <w:t>0.00214</w:t>
            </w:r>
          </w:p>
        </w:tc>
        <w:tc>
          <w:tcPr>
            <w:tcW w:w="1320"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宋体" w:hAnsi="宋体" w:cs="宋体"/>
                <w:color w:val="auto"/>
                <w:kern w:val="0"/>
                <w:highlight w:val="none"/>
              </w:rPr>
            </w:pPr>
            <w:r>
              <w:rPr>
                <w:rFonts w:ascii="宋体" w:hAnsi="宋体" w:cs="宋体" w:hint="eastAsia"/>
                <w:color w:val="auto"/>
                <w:kern w:val="0"/>
                <w:highlight w:val="none"/>
              </w:rPr>
              <w:t>16511.25</w:t>
            </w:r>
          </w:p>
        </w:tc>
        <w:tc>
          <w:tcPr>
            <w:tcW w:w="1500"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宋体" w:hAnsi="宋体" w:cs="宋体"/>
                <w:color w:val="auto"/>
                <w:kern w:val="0"/>
                <w:highlight w:val="none"/>
              </w:rPr>
            </w:pPr>
            <w:r>
              <w:rPr>
                <w:rFonts w:ascii="宋体" w:hAnsi="宋体" w:cs="宋体" w:hint="eastAsia"/>
                <w:color w:val="auto"/>
                <w:kern w:val="0"/>
                <w:highlight w:val="none"/>
              </w:rPr>
              <w:t>13054.14</w:t>
            </w:r>
          </w:p>
        </w:tc>
        <w:tc>
          <w:tcPr>
            <w:tcW w:w="1620"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宋体" w:hAnsi="宋体" w:cs="宋体"/>
                <w:color w:val="auto"/>
                <w:kern w:val="0"/>
                <w:highlight w:val="none"/>
              </w:rPr>
            </w:pPr>
            <w:r>
              <w:rPr>
                <w:rFonts w:ascii="宋体" w:hAnsi="宋体" w:cs="宋体" w:hint="eastAsia"/>
                <w:color w:val="auto"/>
                <w:kern w:val="0"/>
                <w:highlight w:val="none"/>
              </w:rPr>
              <w:t>30311.27</w:t>
            </w:r>
          </w:p>
        </w:tc>
        <w:tc>
          <w:tcPr>
            <w:tcW w:w="1500"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宋体" w:hAnsi="宋体" w:cs="宋体"/>
                <w:color w:val="auto"/>
                <w:kern w:val="0"/>
                <w:highlight w:val="none"/>
              </w:rPr>
            </w:pPr>
            <w:r>
              <w:rPr>
                <w:rFonts w:ascii="宋体" w:hAnsi="宋体" w:cs="宋体" w:hint="eastAsia"/>
                <w:color w:val="auto"/>
                <w:kern w:val="0"/>
                <w:highlight w:val="none"/>
              </w:rPr>
              <w:t>59876.66</w:t>
            </w:r>
          </w:p>
        </w:tc>
      </w:tr>
      <w:tr>
        <w:tblPrEx>
          <w:tblW w:w="9803" w:type="dxa"/>
          <w:jc w:val="center"/>
          <w:tblCellMar>
            <w:top w:w="0" w:type="dxa"/>
            <w:left w:w="108" w:type="dxa"/>
            <w:bottom w:w="0" w:type="dxa"/>
            <w:right w:w="108" w:type="dxa"/>
          </w:tblCellMar>
        </w:tblPrEx>
        <w:trPr>
          <w:trHeight w:val="280"/>
          <w:jc w:val="center"/>
        </w:trPr>
        <w:tc>
          <w:tcPr>
            <w:tcW w:w="8303"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pPr>
              <w:widowControl/>
              <w:spacing w:before="0" w:beforeAutospacing="0" w:after="0" w:afterAutospacing="0" w:line="240" w:lineRule="auto"/>
              <w:ind w:left="0" w:firstLine="0" w:firstLineChars="0"/>
              <w:jc w:val="center"/>
              <w:rPr>
                <w:rFonts w:ascii="宋体" w:hAnsi="宋体" w:cs="宋体"/>
                <w:color w:val="auto"/>
                <w:kern w:val="0"/>
                <w:highlight w:val="none"/>
              </w:rPr>
            </w:pPr>
            <w:r>
              <w:rPr>
                <w:rFonts w:ascii="宋体" w:hAnsi="宋体" w:cs="宋体" w:hint="eastAsia"/>
                <w:color w:val="auto"/>
                <w:kern w:val="0"/>
                <w:highlight w:val="none"/>
              </w:rPr>
              <w:t>合计</w:t>
            </w:r>
          </w:p>
        </w:tc>
        <w:tc>
          <w:tcPr>
            <w:tcW w:w="1500"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宋体" w:hAnsi="宋体" w:cs="宋体"/>
                <w:color w:val="auto"/>
                <w:kern w:val="0"/>
                <w:highlight w:val="none"/>
              </w:rPr>
            </w:pPr>
            <w:r>
              <w:rPr>
                <w:rFonts w:ascii="宋体" w:hAnsi="宋体" w:cs="宋体" w:hint="eastAsia"/>
                <w:color w:val="auto"/>
                <w:kern w:val="0"/>
                <w:highlight w:val="none"/>
              </w:rPr>
              <w:t>59876.66</w:t>
            </w:r>
          </w:p>
        </w:tc>
      </w:tr>
    </w:tbl>
    <w:p>
      <w:pPr>
        <w:ind w:left="0" w:firstLine="0" w:firstLineChars="0"/>
        <w:rPr>
          <w:color w:val="auto"/>
          <w:highlight w:val="none"/>
        </w:rPr>
      </w:pPr>
    </w:p>
    <w:p>
      <w:pPr>
        <w:pStyle w:val="10"/>
        <w:spacing w:line="240" w:lineRule="auto"/>
        <w:ind w:left="0" w:firstLine="0" w:firstLineChars="0"/>
        <w:jc w:val="center"/>
        <w:rPr>
          <w:rFonts w:ascii="Times New Roman" w:eastAsia="宋体" w:hAnsi="Times New Roman" w:hint="eastAsia"/>
          <w:b/>
          <w:bCs/>
          <w:color w:val="auto"/>
          <w:szCs w:val="21"/>
          <w:highlight w:val="none"/>
        </w:rPr>
      </w:pPr>
      <w:r>
        <w:rPr>
          <w:rFonts w:ascii="Times New Roman" w:eastAsia="宋体" w:hAnsi="Times New Roman" w:hint="eastAsia"/>
          <w:b/>
          <w:bCs/>
          <w:color w:val="auto"/>
          <w:szCs w:val="21"/>
          <w:highlight w:val="none"/>
          <w:lang w:val="en-US" w:eastAsia="zh-CN"/>
        </w:rPr>
        <w:t xml:space="preserve">表13-4 </w:t>
      </w:r>
      <w:r>
        <w:rPr>
          <w:rFonts w:ascii="Times New Roman" w:eastAsia="宋体" w:hAnsi="Times New Roman" w:hint="eastAsia"/>
          <w:b/>
          <w:bCs/>
          <w:color w:val="auto"/>
          <w:szCs w:val="21"/>
          <w:highlight w:val="none"/>
        </w:rPr>
        <w:t>室内分布系统目标网投资估算表（5G主设备部分）</w:t>
      </w:r>
    </w:p>
    <w:tbl>
      <w:tblPr>
        <w:tblStyle w:val="TableNormal"/>
        <w:tblW w:w="9869" w:type="dxa"/>
        <w:jc w:val="center"/>
        <w:tblCellMar>
          <w:top w:w="0" w:type="dxa"/>
          <w:left w:w="108" w:type="dxa"/>
          <w:bottom w:w="0" w:type="dxa"/>
          <w:right w:w="108" w:type="dxa"/>
        </w:tblCellMar>
      </w:tblPr>
      <w:tblGrid>
        <w:gridCol w:w="1929"/>
        <w:gridCol w:w="1040"/>
        <w:gridCol w:w="1300"/>
        <w:gridCol w:w="1500"/>
        <w:gridCol w:w="1260"/>
        <w:gridCol w:w="1520"/>
        <w:gridCol w:w="1320"/>
      </w:tblGrid>
      <w:tr>
        <w:tblPrEx>
          <w:tblW w:w="9869" w:type="dxa"/>
          <w:jc w:val="center"/>
          <w:tblCellMar>
            <w:top w:w="0" w:type="dxa"/>
            <w:left w:w="108" w:type="dxa"/>
            <w:bottom w:w="0" w:type="dxa"/>
            <w:right w:w="108" w:type="dxa"/>
          </w:tblCellMar>
        </w:tblPrEx>
        <w:trPr>
          <w:trHeight w:val="280"/>
          <w:jc w:val="center"/>
        </w:trPr>
        <w:tc>
          <w:tcPr>
            <w:tcW w:w="1929" w:type="dxa"/>
            <w:tcBorders>
              <w:top w:val="single" w:sz="4" w:space="0" w:color="auto"/>
              <w:left w:val="single" w:sz="4" w:space="0" w:color="auto"/>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hAnsi="Times New Roman" w:cs="宋体"/>
                <w:b/>
                <w:bCs/>
                <w:color w:val="auto"/>
                <w:kern w:val="0"/>
                <w:sz w:val="21"/>
                <w:highlight w:val="none"/>
              </w:rPr>
            </w:pPr>
            <w:r>
              <w:rPr>
                <w:rFonts w:ascii="Times New Roman" w:hAnsi="Times New Roman" w:cs="宋体" w:hint="eastAsia"/>
                <w:b/>
                <w:bCs/>
                <w:color w:val="auto"/>
                <w:kern w:val="0"/>
                <w:sz w:val="21"/>
                <w:highlight w:val="none"/>
              </w:rPr>
              <w:t>无线主设备项目</w:t>
            </w:r>
          </w:p>
        </w:tc>
        <w:tc>
          <w:tcPr>
            <w:tcW w:w="1040" w:type="dxa"/>
            <w:tcBorders>
              <w:top w:val="single" w:sz="4" w:space="0" w:color="auto"/>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hAnsi="Times New Roman" w:cs="宋体"/>
                <w:b/>
                <w:bCs/>
                <w:color w:val="auto"/>
                <w:kern w:val="0"/>
                <w:sz w:val="21"/>
                <w:highlight w:val="none"/>
              </w:rPr>
            </w:pPr>
            <w:r>
              <w:rPr>
                <w:rFonts w:ascii="Times New Roman" w:hAnsi="Times New Roman" w:cs="宋体" w:hint="eastAsia"/>
                <w:b/>
                <w:bCs/>
                <w:color w:val="auto"/>
                <w:kern w:val="0"/>
                <w:sz w:val="21"/>
                <w:highlight w:val="none"/>
              </w:rPr>
              <w:t>单位</w:t>
            </w:r>
          </w:p>
        </w:tc>
        <w:tc>
          <w:tcPr>
            <w:tcW w:w="1300" w:type="dxa"/>
            <w:tcBorders>
              <w:top w:val="single" w:sz="4" w:space="0" w:color="auto"/>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hAnsi="Times New Roman" w:cs="宋体" w:hint="eastAsia"/>
                <w:b/>
                <w:bCs/>
                <w:color w:val="auto"/>
                <w:kern w:val="0"/>
                <w:sz w:val="21"/>
                <w:highlight w:val="none"/>
              </w:rPr>
            </w:pPr>
            <w:r>
              <w:rPr>
                <w:rFonts w:ascii="Times New Roman" w:hAnsi="Times New Roman" w:cs="宋体" w:hint="eastAsia"/>
                <w:b/>
                <w:bCs/>
                <w:color w:val="auto"/>
                <w:kern w:val="0"/>
                <w:sz w:val="21"/>
                <w:highlight w:val="none"/>
              </w:rPr>
              <w:t>单价</w:t>
            </w:r>
          </w:p>
          <w:p>
            <w:pPr>
              <w:widowControl/>
              <w:spacing w:before="0" w:beforeAutospacing="0" w:after="0" w:afterAutospacing="0" w:line="240" w:lineRule="auto"/>
              <w:ind w:left="0" w:firstLine="0" w:leftChars="0" w:firstLineChars="0"/>
              <w:jc w:val="center"/>
              <w:rPr>
                <w:rFonts w:ascii="Times New Roman" w:hAnsi="Times New Roman" w:cs="宋体"/>
                <w:b/>
                <w:bCs/>
                <w:color w:val="auto"/>
                <w:kern w:val="0"/>
                <w:sz w:val="21"/>
                <w:highlight w:val="none"/>
              </w:rPr>
            </w:pPr>
            <w:r>
              <w:rPr>
                <w:rFonts w:ascii="Times New Roman" w:hAnsi="Times New Roman" w:cs="宋体" w:hint="eastAsia"/>
                <w:b/>
                <w:bCs/>
                <w:color w:val="auto"/>
                <w:kern w:val="0"/>
                <w:sz w:val="21"/>
                <w:highlight w:val="none"/>
              </w:rPr>
              <w:t>（万元）</w:t>
            </w:r>
          </w:p>
        </w:tc>
        <w:tc>
          <w:tcPr>
            <w:tcW w:w="1500" w:type="dxa"/>
            <w:tcBorders>
              <w:top w:val="single" w:sz="4" w:space="0" w:color="auto"/>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hAnsi="Times New Roman" w:cs="宋体" w:hint="eastAsia"/>
                <w:b/>
                <w:bCs/>
                <w:color w:val="auto"/>
                <w:kern w:val="0"/>
                <w:sz w:val="21"/>
                <w:highlight w:val="none"/>
              </w:rPr>
            </w:pPr>
            <w:r>
              <w:rPr>
                <w:rFonts w:ascii="Times New Roman" w:hAnsi="Times New Roman" w:cs="宋体" w:hint="eastAsia"/>
                <w:b/>
                <w:bCs/>
                <w:color w:val="auto"/>
                <w:kern w:val="0"/>
                <w:sz w:val="21"/>
                <w:highlight w:val="none"/>
              </w:rPr>
              <w:t>近期</w:t>
            </w:r>
          </w:p>
          <w:p>
            <w:pPr>
              <w:widowControl/>
              <w:spacing w:before="0" w:beforeAutospacing="0" w:after="0" w:afterAutospacing="0" w:line="240" w:lineRule="auto"/>
              <w:ind w:left="0" w:firstLine="0" w:leftChars="0" w:firstLineChars="0"/>
              <w:jc w:val="center"/>
              <w:rPr>
                <w:rFonts w:ascii="Times New Roman" w:hAnsi="Times New Roman" w:cs="宋体"/>
                <w:b/>
                <w:bCs/>
                <w:color w:val="auto"/>
                <w:kern w:val="0"/>
                <w:sz w:val="21"/>
                <w:highlight w:val="none"/>
              </w:rPr>
            </w:pPr>
            <w:r>
              <w:rPr>
                <w:rFonts w:ascii="Times New Roman" w:hAnsi="Times New Roman" w:cs="宋体" w:hint="eastAsia"/>
                <w:b/>
                <w:bCs/>
                <w:color w:val="auto"/>
                <w:kern w:val="0"/>
                <w:sz w:val="21"/>
                <w:highlight w:val="none"/>
              </w:rPr>
              <w:t>（万元）</w:t>
            </w:r>
          </w:p>
        </w:tc>
        <w:tc>
          <w:tcPr>
            <w:tcW w:w="1260" w:type="dxa"/>
            <w:tcBorders>
              <w:top w:val="single" w:sz="4" w:space="0" w:color="auto"/>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hAnsi="Times New Roman" w:cs="宋体" w:hint="eastAsia"/>
                <w:b/>
                <w:bCs/>
                <w:color w:val="auto"/>
                <w:kern w:val="0"/>
                <w:sz w:val="21"/>
                <w:highlight w:val="none"/>
              </w:rPr>
            </w:pPr>
            <w:r>
              <w:rPr>
                <w:rFonts w:ascii="Times New Roman" w:hAnsi="Times New Roman" w:cs="宋体" w:hint="eastAsia"/>
                <w:b/>
                <w:bCs/>
                <w:color w:val="auto"/>
                <w:kern w:val="0"/>
                <w:sz w:val="21"/>
                <w:highlight w:val="none"/>
              </w:rPr>
              <w:t>中期</w:t>
            </w:r>
          </w:p>
          <w:p>
            <w:pPr>
              <w:widowControl/>
              <w:spacing w:before="0" w:beforeAutospacing="0" w:after="0" w:afterAutospacing="0" w:line="240" w:lineRule="auto"/>
              <w:ind w:left="0" w:firstLine="0" w:leftChars="0" w:firstLineChars="0"/>
              <w:jc w:val="center"/>
              <w:rPr>
                <w:rFonts w:ascii="Times New Roman" w:hAnsi="Times New Roman" w:cs="宋体"/>
                <w:b/>
                <w:bCs/>
                <w:color w:val="auto"/>
                <w:kern w:val="0"/>
                <w:sz w:val="21"/>
                <w:highlight w:val="none"/>
              </w:rPr>
            </w:pPr>
            <w:r>
              <w:rPr>
                <w:rFonts w:ascii="Times New Roman" w:hAnsi="Times New Roman" w:cs="宋体" w:hint="eastAsia"/>
                <w:b/>
                <w:bCs/>
                <w:color w:val="auto"/>
                <w:kern w:val="0"/>
                <w:sz w:val="21"/>
                <w:highlight w:val="none"/>
              </w:rPr>
              <w:t>（万元）</w:t>
            </w:r>
          </w:p>
        </w:tc>
        <w:tc>
          <w:tcPr>
            <w:tcW w:w="1520" w:type="dxa"/>
            <w:tcBorders>
              <w:top w:val="single" w:sz="4" w:space="0" w:color="auto"/>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hAnsi="Times New Roman" w:cs="宋体" w:hint="eastAsia"/>
                <w:b/>
                <w:bCs/>
                <w:color w:val="auto"/>
                <w:kern w:val="0"/>
                <w:sz w:val="21"/>
                <w:highlight w:val="none"/>
              </w:rPr>
            </w:pPr>
            <w:r>
              <w:rPr>
                <w:rFonts w:ascii="Times New Roman" w:hAnsi="Times New Roman" w:cs="宋体" w:hint="eastAsia"/>
                <w:b/>
                <w:bCs/>
                <w:color w:val="auto"/>
                <w:kern w:val="0"/>
                <w:sz w:val="21"/>
                <w:highlight w:val="none"/>
              </w:rPr>
              <w:t>远期</w:t>
            </w:r>
          </w:p>
          <w:p>
            <w:pPr>
              <w:widowControl/>
              <w:spacing w:before="0" w:beforeAutospacing="0" w:after="0" w:afterAutospacing="0" w:line="240" w:lineRule="auto"/>
              <w:ind w:left="0" w:firstLine="0" w:leftChars="0" w:firstLineChars="0"/>
              <w:jc w:val="center"/>
              <w:rPr>
                <w:rFonts w:ascii="Times New Roman" w:hAnsi="Times New Roman" w:cs="宋体"/>
                <w:b/>
                <w:bCs/>
                <w:color w:val="auto"/>
                <w:kern w:val="0"/>
                <w:sz w:val="21"/>
                <w:highlight w:val="none"/>
              </w:rPr>
            </w:pPr>
            <w:r>
              <w:rPr>
                <w:rFonts w:ascii="Times New Roman" w:hAnsi="Times New Roman" w:cs="宋体" w:hint="eastAsia"/>
                <w:b/>
                <w:bCs/>
                <w:color w:val="auto"/>
                <w:kern w:val="0"/>
                <w:sz w:val="21"/>
                <w:highlight w:val="none"/>
              </w:rPr>
              <w:t>（万元）</w:t>
            </w:r>
          </w:p>
        </w:tc>
        <w:tc>
          <w:tcPr>
            <w:tcW w:w="1320" w:type="dxa"/>
            <w:tcBorders>
              <w:top w:val="single" w:sz="4" w:space="0" w:color="auto"/>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hAnsi="Times New Roman" w:cs="宋体"/>
                <w:b/>
                <w:bCs/>
                <w:color w:val="auto"/>
                <w:kern w:val="0"/>
                <w:sz w:val="21"/>
                <w:highlight w:val="none"/>
              </w:rPr>
            </w:pPr>
            <w:r>
              <w:rPr>
                <w:rFonts w:ascii="Times New Roman" w:hAnsi="Times New Roman" w:cs="宋体" w:hint="eastAsia"/>
                <w:b/>
                <w:bCs/>
                <w:color w:val="auto"/>
                <w:kern w:val="0"/>
                <w:sz w:val="21"/>
                <w:highlight w:val="none"/>
              </w:rPr>
              <w:t>合计（万元）</w:t>
            </w:r>
          </w:p>
        </w:tc>
      </w:tr>
      <w:tr>
        <w:tblPrEx>
          <w:tblW w:w="9869" w:type="dxa"/>
          <w:jc w:val="center"/>
          <w:tblCellMar>
            <w:top w:w="0" w:type="dxa"/>
            <w:left w:w="108" w:type="dxa"/>
            <w:bottom w:w="0" w:type="dxa"/>
            <w:right w:w="108" w:type="dxa"/>
          </w:tblCellMar>
        </w:tblPrEx>
        <w:trPr>
          <w:trHeight w:val="280"/>
          <w:jc w:val="center"/>
        </w:trPr>
        <w:tc>
          <w:tcPr>
            <w:tcW w:w="1929" w:type="dxa"/>
            <w:tcBorders>
              <w:top w:val="single" w:sz="4" w:space="0" w:color="auto"/>
              <w:left w:val="single" w:sz="4" w:space="0" w:color="auto"/>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hAnsi="Times New Roman" w:cs="宋体"/>
                <w:color w:val="auto"/>
                <w:kern w:val="0"/>
                <w:sz w:val="21"/>
                <w:highlight w:val="none"/>
              </w:rPr>
            </w:pPr>
            <w:r>
              <w:rPr>
                <w:rFonts w:ascii="Times New Roman" w:hAnsi="Times New Roman" w:cs="宋体" w:hint="eastAsia"/>
                <w:color w:val="auto"/>
                <w:kern w:val="0"/>
                <w:sz w:val="21"/>
                <w:highlight w:val="none"/>
              </w:rPr>
              <w:t>室分</w:t>
            </w:r>
          </w:p>
        </w:tc>
        <w:tc>
          <w:tcPr>
            <w:tcW w:w="1040"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hAnsi="Times New Roman" w:cs="宋体"/>
                <w:color w:val="auto"/>
                <w:kern w:val="0"/>
                <w:sz w:val="21"/>
                <w:highlight w:val="none"/>
              </w:rPr>
            </w:pPr>
            <w:r>
              <w:rPr>
                <w:rFonts w:ascii="Times New Roman" w:hAnsi="Times New Roman" w:cs="宋体" w:hint="eastAsia"/>
                <w:color w:val="auto"/>
                <w:kern w:val="0"/>
                <w:sz w:val="21"/>
                <w:highlight w:val="none"/>
              </w:rPr>
              <w:t>个</w:t>
            </w:r>
          </w:p>
        </w:tc>
        <w:tc>
          <w:tcPr>
            <w:tcW w:w="1300"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hAnsi="Times New Roman" w:cs="宋体"/>
                <w:color w:val="auto"/>
                <w:kern w:val="0"/>
                <w:sz w:val="21"/>
                <w:highlight w:val="none"/>
              </w:rPr>
            </w:pPr>
            <w:r>
              <w:rPr>
                <w:rFonts w:ascii="Times New Roman" w:hAnsi="Times New Roman" w:cs="宋体" w:hint="eastAsia"/>
                <w:color w:val="auto"/>
                <w:kern w:val="0"/>
                <w:sz w:val="21"/>
                <w:highlight w:val="none"/>
              </w:rPr>
              <w:t>17.71</w:t>
            </w:r>
          </w:p>
        </w:tc>
        <w:tc>
          <w:tcPr>
            <w:tcW w:w="1500"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hAnsi="Times New Roman" w:cs="宋体"/>
                <w:color w:val="auto"/>
                <w:kern w:val="0"/>
                <w:sz w:val="21"/>
                <w:highlight w:val="none"/>
              </w:rPr>
            </w:pPr>
            <w:r>
              <w:rPr>
                <w:rFonts w:ascii="Times New Roman" w:hAnsi="Times New Roman" w:cs="宋体" w:hint="eastAsia"/>
                <w:color w:val="auto"/>
                <w:kern w:val="0"/>
                <w:sz w:val="21"/>
                <w:highlight w:val="none"/>
              </w:rPr>
              <w:t>22473.99</w:t>
            </w:r>
          </w:p>
        </w:tc>
        <w:tc>
          <w:tcPr>
            <w:tcW w:w="1260"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hAnsi="Times New Roman" w:cs="宋体"/>
                <w:color w:val="auto"/>
                <w:kern w:val="0"/>
                <w:sz w:val="21"/>
                <w:highlight w:val="none"/>
              </w:rPr>
            </w:pPr>
            <w:r>
              <w:rPr>
                <w:rFonts w:ascii="Times New Roman" w:hAnsi="Times New Roman" w:cs="宋体" w:hint="eastAsia"/>
                <w:color w:val="auto"/>
                <w:kern w:val="0"/>
                <w:sz w:val="21"/>
                <w:highlight w:val="none"/>
              </w:rPr>
              <w:t>24492.93</w:t>
            </w:r>
          </w:p>
        </w:tc>
        <w:tc>
          <w:tcPr>
            <w:tcW w:w="1520"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hAnsi="Times New Roman" w:cs="宋体"/>
                <w:color w:val="auto"/>
                <w:kern w:val="0"/>
                <w:sz w:val="21"/>
                <w:highlight w:val="none"/>
              </w:rPr>
            </w:pPr>
            <w:r>
              <w:rPr>
                <w:rFonts w:ascii="Times New Roman" w:hAnsi="Times New Roman" w:cs="宋体" w:hint="eastAsia"/>
                <w:color w:val="auto"/>
                <w:kern w:val="0"/>
                <w:sz w:val="21"/>
                <w:highlight w:val="none"/>
              </w:rPr>
              <w:t>16824.5</w:t>
            </w:r>
          </w:p>
        </w:tc>
        <w:tc>
          <w:tcPr>
            <w:tcW w:w="1320"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hAnsi="Times New Roman" w:cs="宋体"/>
                <w:color w:val="auto"/>
                <w:kern w:val="0"/>
                <w:sz w:val="21"/>
                <w:highlight w:val="none"/>
              </w:rPr>
            </w:pPr>
            <w:r>
              <w:rPr>
                <w:rFonts w:ascii="Times New Roman" w:hAnsi="Times New Roman" w:cs="宋体" w:hint="eastAsia"/>
                <w:color w:val="auto"/>
                <w:kern w:val="0"/>
                <w:sz w:val="21"/>
                <w:highlight w:val="none"/>
              </w:rPr>
              <w:t>63791.42</w:t>
            </w:r>
          </w:p>
        </w:tc>
      </w:tr>
      <w:tr>
        <w:tblPrEx>
          <w:tblW w:w="9869" w:type="dxa"/>
          <w:jc w:val="center"/>
          <w:tblCellMar>
            <w:top w:w="0" w:type="dxa"/>
            <w:left w:w="108" w:type="dxa"/>
            <w:bottom w:w="0" w:type="dxa"/>
            <w:right w:w="108" w:type="dxa"/>
          </w:tblCellMar>
        </w:tblPrEx>
        <w:trPr>
          <w:trHeight w:val="280"/>
          <w:jc w:val="center"/>
        </w:trPr>
        <w:tc>
          <w:tcPr>
            <w:tcW w:w="854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pPr>
              <w:widowControl/>
              <w:spacing w:before="0" w:beforeAutospacing="0" w:after="0" w:afterAutospacing="0" w:line="240" w:lineRule="auto"/>
              <w:ind w:left="0" w:firstLine="0" w:leftChars="0" w:firstLineChars="0"/>
              <w:jc w:val="center"/>
              <w:rPr>
                <w:rFonts w:ascii="Times New Roman" w:hAnsi="Times New Roman" w:cs="宋体"/>
                <w:color w:val="auto"/>
                <w:kern w:val="0"/>
                <w:sz w:val="21"/>
                <w:highlight w:val="none"/>
              </w:rPr>
            </w:pPr>
            <w:r>
              <w:rPr>
                <w:rFonts w:ascii="Times New Roman" w:hAnsi="Times New Roman" w:cs="宋体" w:hint="eastAsia"/>
                <w:color w:val="auto"/>
                <w:kern w:val="0"/>
                <w:sz w:val="21"/>
                <w:highlight w:val="none"/>
              </w:rPr>
              <w:t>合计</w:t>
            </w:r>
          </w:p>
        </w:tc>
        <w:tc>
          <w:tcPr>
            <w:tcW w:w="1320" w:type="dxa"/>
            <w:tcBorders>
              <w:top w:val="nil"/>
              <w:left w:val="nil"/>
              <w:bottom w:val="single" w:sz="4" w:space="0" w:color="auto"/>
              <w:right w:val="single" w:sz="4"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hAnsi="Times New Roman" w:cs="宋体"/>
                <w:color w:val="auto"/>
                <w:kern w:val="0"/>
                <w:sz w:val="21"/>
                <w:highlight w:val="none"/>
              </w:rPr>
            </w:pPr>
            <w:r>
              <w:rPr>
                <w:rFonts w:ascii="Times New Roman" w:hAnsi="Times New Roman" w:cs="宋体" w:hint="eastAsia"/>
                <w:color w:val="auto"/>
                <w:kern w:val="0"/>
                <w:sz w:val="21"/>
                <w:highlight w:val="none"/>
              </w:rPr>
              <w:t>63791.42</w:t>
            </w:r>
          </w:p>
        </w:tc>
      </w:tr>
    </w:tbl>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lang w:val="en-US" w:eastAsia="zh-CN"/>
        </w:rPr>
        <w:t>3、</w:t>
      </w:r>
      <w:r>
        <w:rPr>
          <w:rFonts w:ascii="Times New Roman" w:eastAsia="宋体" w:hAnsi="Times New Roman" w:hint="eastAsia"/>
          <w:color w:val="auto"/>
          <w:sz w:val="24"/>
          <w:highlight w:val="none"/>
        </w:rPr>
        <w:t>传输资源投资估算</w:t>
      </w:r>
    </w:p>
    <w:p>
      <w:pPr>
        <w:pStyle w:val="Body"/>
        <w:spacing w:after="0" w:line="240" w:lineRule="auto"/>
        <w:ind w:right="0" w:firstLine="480"/>
        <w:rPr>
          <w:rFonts w:hint="eastAsia"/>
          <w:color w:val="auto"/>
          <w:highlight w:val="none"/>
        </w:rPr>
      </w:pPr>
      <w:r>
        <w:rPr>
          <w:rFonts w:hint="eastAsia"/>
          <w:color w:val="auto"/>
          <w:highlight w:val="none"/>
        </w:rPr>
        <w:t>根据城市空间规划建设和通信规划需求，通信机房规划总投资18330.00万元、管道规划总投资92097.04万元、光交规划总投资862.29万元、杆路规划总投资549.87万元。本规划投资汇总见下表所示。</w:t>
      </w:r>
    </w:p>
    <w:p>
      <w:pPr>
        <w:pStyle w:val="10"/>
        <w:spacing w:line="240" w:lineRule="auto"/>
        <w:ind w:left="0" w:firstLine="0" w:firstLineChars="0"/>
        <w:jc w:val="center"/>
        <w:rPr>
          <w:rFonts w:ascii="Times New Roman" w:eastAsia="宋体" w:hAnsi="Times New Roman" w:hint="eastAsia"/>
          <w:b/>
          <w:bCs/>
          <w:color w:val="auto"/>
          <w:szCs w:val="21"/>
          <w:highlight w:val="none"/>
        </w:rPr>
      </w:pPr>
      <w:r>
        <w:rPr>
          <w:rFonts w:ascii="Times New Roman" w:eastAsia="宋体" w:hAnsi="Times New Roman" w:hint="eastAsia"/>
          <w:b/>
          <w:bCs/>
          <w:color w:val="auto"/>
          <w:szCs w:val="21"/>
          <w:highlight w:val="none"/>
          <w:lang w:val="en-US" w:eastAsia="zh-CN"/>
        </w:rPr>
        <w:t>表13-5 传输资源投资估算</w:t>
      </w:r>
      <w:r>
        <w:rPr>
          <w:rFonts w:ascii="Times New Roman" w:eastAsia="宋体" w:hAnsi="Times New Roman" w:hint="eastAsia"/>
          <w:b/>
          <w:bCs/>
          <w:color w:val="auto"/>
          <w:szCs w:val="21"/>
          <w:highlight w:val="none"/>
        </w:rPr>
        <w:t>表</w:t>
      </w:r>
    </w:p>
    <w:tbl>
      <w:tblPr>
        <w:tblStyle w:val="TableNormal"/>
        <w:tblW w:w="9980" w:type="dxa"/>
        <w:jc w:val="center"/>
        <w:tblLayout w:type="fixed"/>
        <w:tblCellMar>
          <w:top w:w="0" w:type="dxa"/>
          <w:left w:w="108" w:type="dxa"/>
          <w:bottom w:w="0" w:type="dxa"/>
          <w:right w:w="108" w:type="dxa"/>
        </w:tblCellMar>
      </w:tblPr>
      <w:tblGrid>
        <w:gridCol w:w="1269"/>
        <w:gridCol w:w="1131"/>
        <w:gridCol w:w="960"/>
        <w:gridCol w:w="960"/>
        <w:gridCol w:w="1140"/>
        <w:gridCol w:w="1140"/>
        <w:gridCol w:w="1140"/>
        <w:gridCol w:w="2240"/>
      </w:tblGrid>
      <w:tr>
        <w:tblPrEx>
          <w:tblW w:w="9980" w:type="dxa"/>
          <w:jc w:val="center"/>
          <w:tblLayout w:type="fixed"/>
          <w:tblCellMar>
            <w:top w:w="0" w:type="dxa"/>
            <w:left w:w="108" w:type="dxa"/>
            <w:bottom w:w="0" w:type="dxa"/>
            <w:right w:w="108" w:type="dxa"/>
          </w:tblCellMar>
        </w:tblPrEx>
        <w:trPr>
          <w:trHeight w:val="290"/>
          <w:jc w:val="center"/>
        </w:trPr>
        <w:tc>
          <w:tcPr>
            <w:tcW w:w="24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b/>
                <w:bCs/>
                <w:color w:val="auto"/>
                <w:kern w:val="0"/>
                <w:sz w:val="21"/>
                <w:highlight w:val="none"/>
              </w:rPr>
            </w:pPr>
            <w:r>
              <w:rPr>
                <w:rFonts w:ascii="Times New Roman" w:eastAsia="宋体" w:hAnsi="Times New Roman" w:cs="宋体" w:hint="eastAsia"/>
                <w:b/>
                <w:bCs/>
                <w:color w:val="auto"/>
                <w:kern w:val="0"/>
                <w:sz w:val="21"/>
                <w:highlight w:val="none"/>
              </w:rPr>
              <w:t>传输项目</w:t>
            </w:r>
          </w:p>
        </w:tc>
        <w:tc>
          <w:tcPr>
            <w:tcW w:w="960" w:type="dxa"/>
            <w:tcBorders>
              <w:top w:val="single" w:sz="8" w:space="0" w:color="auto"/>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b/>
                <w:bCs/>
                <w:color w:val="auto"/>
                <w:kern w:val="0"/>
                <w:sz w:val="21"/>
                <w:highlight w:val="none"/>
              </w:rPr>
            </w:pPr>
            <w:r>
              <w:rPr>
                <w:rFonts w:ascii="Times New Roman" w:eastAsia="宋体" w:hAnsi="Times New Roman" w:cs="宋体" w:hint="eastAsia"/>
                <w:b/>
                <w:bCs/>
                <w:color w:val="auto"/>
                <w:kern w:val="0"/>
                <w:sz w:val="21"/>
                <w:highlight w:val="none"/>
              </w:rPr>
              <w:t>单位</w:t>
            </w:r>
          </w:p>
        </w:tc>
        <w:tc>
          <w:tcPr>
            <w:tcW w:w="960" w:type="dxa"/>
            <w:tcBorders>
              <w:top w:val="single" w:sz="8" w:space="0" w:color="auto"/>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hint="eastAsia"/>
                <w:b/>
                <w:bCs/>
                <w:color w:val="auto"/>
                <w:kern w:val="0"/>
                <w:sz w:val="21"/>
                <w:highlight w:val="none"/>
              </w:rPr>
            </w:pPr>
            <w:r>
              <w:rPr>
                <w:rFonts w:ascii="Times New Roman" w:eastAsia="宋体" w:hAnsi="Times New Roman" w:cs="宋体" w:hint="eastAsia"/>
                <w:b/>
                <w:bCs/>
                <w:color w:val="auto"/>
                <w:kern w:val="0"/>
                <w:sz w:val="21"/>
                <w:highlight w:val="none"/>
              </w:rPr>
              <w:t>单价</w:t>
            </w:r>
          </w:p>
          <w:p>
            <w:pPr>
              <w:widowControl/>
              <w:spacing w:before="0" w:beforeAutospacing="0" w:after="0" w:afterAutospacing="0" w:line="240" w:lineRule="auto"/>
              <w:ind w:left="0" w:firstLine="0" w:firstLineChars="0"/>
              <w:jc w:val="center"/>
              <w:rPr>
                <w:rFonts w:ascii="Times New Roman" w:eastAsia="宋体" w:hAnsi="Times New Roman" w:cs="宋体"/>
                <w:b/>
                <w:bCs/>
                <w:color w:val="auto"/>
                <w:kern w:val="0"/>
                <w:sz w:val="21"/>
                <w:highlight w:val="none"/>
              </w:rPr>
            </w:pPr>
            <w:r>
              <w:rPr>
                <w:rFonts w:ascii="Times New Roman" w:eastAsia="宋体" w:hAnsi="Times New Roman" w:cs="宋体" w:hint="eastAsia"/>
                <w:b/>
                <w:bCs/>
                <w:color w:val="auto"/>
                <w:kern w:val="0"/>
                <w:sz w:val="21"/>
                <w:highlight w:val="none"/>
              </w:rPr>
              <w:t>（万元）</w:t>
            </w:r>
          </w:p>
        </w:tc>
        <w:tc>
          <w:tcPr>
            <w:tcW w:w="1140" w:type="dxa"/>
            <w:tcBorders>
              <w:top w:val="single" w:sz="8" w:space="0" w:color="auto"/>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hint="eastAsia"/>
                <w:b/>
                <w:bCs/>
                <w:color w:val="auto"/>
                <w:kern w:val="0"/>
                <w:sz w:val="21"/>
                <w:highlight w:val="none"/>
              </w:rPr>
            </w:pPr>
            <w:r>
              <w:rPr>
                <w:rFonts w:ascii="Times New Roman" w:eastAsia="宋体" w:hAnsi="Times New Roman" w:cs="宋体" w:hint="eastAsia"/>
                <w:b/>
                <w:bCs/>
                <w:color w:val="auto"/>
                <w:kern w:val="0"/>
                <w:sz w:val="21"/>
                <w:highlight w:val="none"/>
              </w:rPr>
              <w:t>近期</w:t>
            </w:r>
          </w:p>
          <w:p>
            <w:pPr>
              <w:widowControl/>
              <w:spacing w:before="0" w:beforeAutospacing="0" w:after="0" w:afterAutospacing="0" w:line="240" w:lineRule="auto"/>
              <w:ind w:left="0" w:firstLine="0" w:firstLineChars="0"/>
              <w:jc w:val="center"/>
              <w:rPr>
                <w:rFonts w:ascii="Times New Roman" w:eastAsia="宋体" w:hAnsi="Times New Roman" w:cs="宋体"/>
                <w:b/>
                <w:bCs/>
                <w:color w:val="auto"/>
                <w:kern w:val="0"/>
                <w:sz w:val="21"/>
                <w:highlight w:val="none"/>
              </w:rPr>
            </w:pPr>
            <w:r>
              <w:rPr>
                <w:rFonts w:ascii="Times New Roman" w:eastAsia="宋体" w:hAnsi="Times New Roman" w:cs="宋体" w:hint="eastAsia"/>
                <w:b/>
                <w:bCs/>
                <w:color w:val="auto"/>
                <w:kern w:val="0"/>
                <w:sz w:val="21"/>
                <w:highlight w:val="none"/>
                <w:lang w:eastAsia="zh-CN"/>
              </w:rPr>
              <w:t>（</w:t>
            </w:r>
            <w:r>
              <w:rPr>
                <w:rFonts w:ascii="Times New Roman" w:eastAsia="宋体" w:hAnsi="Times New Roman" w:cs="宋体" w:hint="eastAsia"/>
                <w:b/>
                <w:bCs/>
                <w:color w:val="auto"/>
                <w:kern w:val="0"/>
                <w:sz w:val="21"/>
                <w:highlight w:val="none"/>
              </w:rPr>
              <w:t>万元</w:t>
            </w:r>
            <w:r>
              <w:rPr>
                <w:rFonts w:ascii="Times New Roman" w:eastAsia="宋体" w:hAnsi="Times New Roman" w:cs="宋体" w:hint="eastAsia"/>
                <w:b/>
                <w:bCs/>
                <w:color w:val="auto"/>
                <w:kern w:val="0"/>
                <w:sz w:val="21"/>
                <w:highlight w:val="none"/>
                <w:lang w:eastAsia="zh-CN"/>
              </w:rPr>
              <w:t>）</w:t>
            </w:r>
          </w:p>
        </w:tc>
        <w:tc>
          <w:tcPr>
            <w:tcW w:w="1140" w:type="dxa"/>
            <w:tcBorders>
              <w:top w:val="single" w:sz="8" w:space="0" w:color="auto"/>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hint="eastAsia"/>
                <w:b/>
                <w:bCs/>
                <w:color w:val="auto"/>
                <w:kern w:val="0"/>
                <w:sz w:val="21"/>
                <w:highlight w:val="none"/>
              </w:rPr>
            </w:pPr>
            <w:r>
              <w:rPr>
                <w:rFonts w:ascii="Times New Roman" w:eastAsia="宋体" w:hAnsi="Times New Roman" w:cs="宋体" w:hint="eastAsia"/>
                <w:b/>
                <w:bCs/>
                <w:color w:val="auto"/>
                <w:kern w:val="0"/>
                <w:sz w:val="21"/>
                <w:highlight w:val="none"/>
              </w:rPr>
              <w:t>中期</w:t>
            </w:r>
          </w:p>
          <w:p>
            <w:pPr>
              <w:widowControl/>
              <w:spacing w:before="0" w:beforeAutospacing="0" w:after="0" w:afterAutospacing="0" w:line="240" w:lineRule="auto"/>
              <w:ind w:left="0" w:firstLine="0" w:firstLineChars="0"/>
              <w:jc w:val="center"/>
              <w:rPr>
                <w:rFonts w:ascii="Times New Roman" w:eastAsia="宋体" w:hAnsi="Times New Roman" w:cs="宋体"/>
                <w:b/>
                <w:bCs/>
                <w:color w:val="auto"/>
                <w:kern w:val="0"/>
                <w:sz w:val="21"/>
                <w:highlight w:val="none"/>
              </w:rPr>
            </w:pPr>
            <w:r>
              <w:rPr>
                <w:rFonts w:ascii="Times New Roman" w:eastAsia="宋体" w:hAnsi="Times New Roman" w:cs="宋体" w:hint="eastAsia"/>
                <w:b/>
                <w:bCs/>
                <w:color w:val="auto"/>
                <w:kern w:val="0"/>
                <w:sz w:val="21"/>
                <w:highlight w:val="none"/>
              </w:rPr>
              <w:t>（万元）</w:t>
            </w:r>
          </w:p>
        </w:tc>
        <w:tc>
          <w:tcPr>
            <w:tcW w:w="1140" w:type="dxa"/>
            <w:tcBorders>
              <w:top w:val="single" w:sz="8" w:space="0" w:color="auto"/>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hint="eastAsia"/>
                <w:b/>
                <w:bCs/>
                <w:color w:val="auto"/>
                <w:kern w:val="0"/>
                <w:sz w:val="21"/>
                <w:highlight w:val="none"/>
              </w:rPr>
            </w:pPr>
            <w:r>
              <w:rPr>
                <w:rFonts w:ascii="Times New Roman" w:eastAsia="宋体" w:hAnsi="Times New Roman" w:cs="宋体" w:hint="eastAsia"/>
                <w:b/>
                <w:bCs/>
                <w:color w:val="auto"/>
                <w:kern w:val="0"/>
                <w:sz w:val="21"/>
                <w:highlight w:val="none"/>
              </w:rPr>
              <w:t>远期</w:t>
            </w:r>
          </w:p>
          <w:p>
            <w:pPr>
              <w:widowControl/>
              <w:spacing w:before="0" w:beforeAutospacing="0" w:after="0" w:afterAutospacing="0" w:line="240" w:lineRule="auto"/>
              <w:ind w:left="0" w:firstLine="0" w:firstLineChars="0"/>
              <w:jc w:val="center"/>
              <w:rPr>
                <w:rFonts w:ascii="Times New Roman" w:eastAsia="宋体" w:hAnsi="Times New Roman" w:cs="宋体"/>
                <w:b/>
                <w:bCs/>
                <w:color w:val="auto"/>
                <w:kern w:val="0"/>
                <w:sz w:val="21"/>
                <w:highlight w:val="none"/>
              </w:rPr>
            </w:pPr>
            <w:r>
              <w:rPr>
                <w:rFonts w:ascii="Times New Roman" w:eastAsia="宋体" w:hAnsi="Times New Roman" w:cs="宋体" w:hint="eastAsia"/>
                <w:b/>
                <w:bCs/>
                <w:color w:val="auto"/>
                <w:kern w:val="0"/>
                <w:sz w:val="21"/>
                <w:highlight w:val="none"/>
              </w:rPr>
              <w:t>（万元）</w:t>
            </w:r>
          </w:p>
        </w:tc>
        <w:tc>
          <w:tcPr>
            <w:tcW w:w="2240" w:type="dxa"/>
            <w:tcBorders>
              <w:top w:val="single" w:sz="8" w:space="0" w:color="auto"/>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hint="eastAsia"/>
                <w:b/>
                <w:bCs/>
                <w:color w:val="auto"/>
                <w:kern w:val="0"/>
                <w:sz w:val="21"/>
                <w:highlight w:val="none"/>
              </w:rPr>
            </w:pPr>
            <w:r>
              <w:rPr>
                <w:rFonts w:ascii="Times New Roman" w:eastAsia="宋体" w:hAnsi="Times New Roman" w:cs="宋体" w:hint="eastAsia"/>
                <w:b/>
                <w:bCs/>
                <w:color w:val="auto"/>
                <w:kern w:val="0"/>
                <w:sz w:val="21"/>
                <w:highlight w:val="none"/>
              </w:rPr>
              <w:t>合计</w:t>
            </w:r>
          </w:p>
          <w:p>
            <w:pPr>
              <w:widowControl/>
              <w:spacing w:before="0" w:beforeAutospacing="0" w:after="0" w:afterAutospacing="0" w:line="240" w:lineRule="auto"/>
              <w:ind w:left="0" w:firstLine="0" w:firstLineChars="0"/>
              <w:jc w:val="center"/>
              <w:rPr>
                <w:rFonts w:ascii="Times New Roman" w:eastAsia="宋体" w:hAnsi="Times New Roman" w:cs="宋体"/>
                <w:b/>
                <w:bCs/>
                <w:color w:val="auto"/>
                <w:kern w:val="0"/>
                <w:sz w:val="21"/>
                <w:highlight w:val="none"/>
              </w:rPr>
            </w:pPr>
            <w:r>
              <w:rPr>
                <w:rFonts w:ascii="Times New Roman" w:eastAsia="宋体" w:hAnsi="Times New Roman" w:cs="宋体" w:hint="eastAsia"/>
                <w:b/>
                <w:bCs/>
                <w:color w:val="auto"/>
                <w:kern w:val="0"/>
                <w:sz w:val="21"/>
                <w:highlight w:val="none"/>
              </w:rPr>
              <w:t>（万元）</w:t>
            </w:r>
          </w:p>
        </w:tc>
      </w:tr>
      <w:tr>
        <w:tblPrEx>
          <w:tblW w:w="9980" w:type="dxa"/>
          <w:jc w:val="center"/>
          <w:tblLayout w:type="fixed"/>
          <w:tblCellMar>
            <w:top w:w="0" w:type="dxa"/>
            <w:left w:w="108" w:type="dxa"/>
            <w:bottom w:w="0" w:type="dxa"/>
            <w:right w:w="108" w:type="dxa"/>
          </w:tblCellMar>
        </w:tblPrEx>
        <w:trPr>
          <w:trHeight w:val="290"/>
          <w:jc w:val="center"/>
        </w:trPr>
        <w:tc>
          <w:tcPr>
            <w:tcW w:w="1269" w:type="dxa"/>
            <w:vMerge w:val="restart"/>
            <w:tcBorders>
              <w:top w:val="nil"/>
              <w:left w:val="single" w:sz="8" w:space="0" w:color="auto"/>
              <w:bottom w:val="single" w:sz="8" w:space="0" w:color="000000"/>
              <w:right w:val="single" w:sz="8"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color w:val="auto"/>
                <w:kern w:val="0"/>
                <w:sz w:val="21"/>
                <w:highlight w:val="none"/>
              </w:rPr>
            </w:pPr>
            <w:r>
              <w:rPr>
                <w:rFonts w:ascii="Times New Roman" w:eastAsia="宋体" w:hAnsi="Times New Roman" w:cs="宋体" w:hint="eastAsia"/>
                <w:color w:val="auto"/>
                <w:kern w:val="0"/>
                <w:sz w:val="21"/>
                <w:highlight w:val="none"/>
              </w:rPr>
              <w:t>通信机房</w:t>
            </w:r>
          </w:p>
        </w:tc>
        <w:tc>
          <w:tcPr>
            <w:tcW w:w="1131" w:type="dxa"/>
            <w:tcBorders>
              <w:top w:val="nil"/>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color w:val="auto"/>
                <w:kern w:val="0"/>
                <w:sz w:val="21"/>
                <w:highlight w:val="none"/>
              </w:rPr>
            </w:pPr>
            <w:r>
              <w:rPr>
                <w:rFonts w:ascii="Times New Roman" w:eastAsia="宋体" w:hAnsi="Times New Roman" w:cs="宋体" w:hint="eastAsia"/>
                <w:color w:val="auto"/>
                <w:kern w:val="0"/>
                <w:sz w:val="21"/>
                <w:highlight w:val="none"/>
              </w:rPr>
              <w:t>传输汇聚机房</w:t>
            </w:r>
          </w:p>
        </w:tc>
        <w:tc>
          <w:tcPr>
            <w:tcW w:w="960" w:type="dxa"/>
            <w:tcBorders>
              <w:top w:val="nil"/>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color w:val="auto"/>
                <w:kern w:val="0"/>
                <w:sz w:val="21"/>
                <w:highlight w:val="none"/>
              </w:rPr>
            </w:pPr>
            <w:r>
              <w:rPr>
                <w:rFonts w:ascii="Times New Roman" w:eastAsia="宋体" w:hAnsi="Times New Roman" w:cs="宋体" w:hint="eastAsia"/>
                <w:color w:val="auto"/>
                <w:kern w:val="0"/>
                <w:sz w:val="21"/>
                <w:highlight w:val="none"/>
              </w:rPr>
              <w:t>㎡</w:t>
            </w:r>
          </w:p>
        </w:tc>
        <w:tc>
          <w:tcPr>
            <w:tcW w:w="960" w:type="dxa"/>
            <w:tcBorders>
              <w:top w:val="nil"/>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color w:val="auto"/>
                <w:kern w:val="0"/>
                <w:sz w:val="21"/>
                <w:highlight w:val="none"/>
              </w:rPr>
            </w:pPr>
            <w:r>
              <w:rPr>
                <w:rFonts w:ascii="Times New Roman" w:eastAsia="宋体" w:hAnsi="Times New Roman" w:cs="宋体" w:hint="eastAsia"/>
                <w:color w:val="auto"/>
                <w:kern w:val="0"/>
                <w:sz w:val="21"/>
                <w:highlight w:val="none"/>
              </w:rPr>
              <w:t>3.5</w:t>
            </w:r>
          </w:p>
        </w:tc>
        <w:tc>
          <w:tcPr>
            <w:tcW w:w="1140" w:type="dxa"/>
            <w:tcBorders>
              <w:top w:val="nil"/>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color w:val="auto"/>
                <w:kern w:val="0"/>
                <w:sz w:val="21"/>
                <w:highlight w:val="none"/>
              </w:rPr>
            </w:pPr>
            <w:r>
              <w:rPr>
                <w:rFonts w:ascii="Times New Roman" w:eastAsia="宋体" w:hAnsi="Times New Roman" w:cs="宋体" w:hint="eastAsia"/>
                <w:color w:val="auto"/>
                <w:kern w:val="0"/>
                <w:sz w:val="21"/>
                <w:highlight w:val="none"/>
              </w:rPr>
              <w:t xml:space="preserve">420.00 </w:t>
            </w:r>
          </w:p>
        </w:tc>
        <w:tc>
          <w:tcPr>
            <w:tcW w:w="1140" w:type="dxa"/>
            <w:tcBorders>
              <w:top w:val="nil"/>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color w:val="auto"/>
                <w:kern w:val="0"/>
                <w:sz w:val="21"/>
                <w:highlight w:val="none"/>
              </w:rPr>
            </w:pPr>
            <w:r>
              <w:rPr>
                <w:rFonts w:ascii="Times New Roman" w:eastAsia="宋体" w:hAnsi="Times New Roman" w:cs="宋体" w:hint="eastAsia"/>
                <w:color w:val="auto"/>
                <w:kern w:val="0"/>
                <w:sz w:val="21"/>
                <w:highlight w:val="none"/>
              </w:rPr>
              <w:t xml:space="preserve">420.00 </w:t>
            </w:r>
          </w:p>
        </w:tc>
        <w:tc>
          <w:tcPr>
            <w:tcW w:w="1140" w:type="dxa"/>
            <w:tcBorders>
              <w:top w:val="nil"/>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color w:val="auto"/>
                <w:kern w:val="0"/>
                <w:sz w:val="21"/>
                <w:highlight w:val="none"/>
              </w:rPr>
            </w:pPr>
            <w:r>
              <w:rPr>
                <w:rFonts w:ascii="Times New Roman" w:eastAsia="宋体" w:hAnsi="Times New Roman" w:cs="宋体" w:hint="eastAsia"/>
                <w:color w:val="auto"/>
                <w:kern w:val="0"/>
                <w:sz w:val="21"/>
                <w:highlight w:val="none"/>
              </w:rPr>
              <w:t xml:space="preserve">0.00 </w:t>
            </w:r>
          </w:p>
        </w:tc>
        <w:tc>
          <w:tcPr>
            <w:tcW w:w="2240" w:type="dxa"/>
            <w:tcBorders>
              <w:top w:val="nil"/>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color w:val="auto"/>
                <w:kern w:val="0"/>
                <w:sz w:val="21"/>
                <w:highlight w:val="none"/>
              </w:rPr>
            </w:pPr>
            <w:r>
              <w:rPr>
                <w:rFonts w:ascii="Times New Roman" w:eastAsia="宋体" w:hAnsi="Times New Roman" w:cs="宋体" w:hint="eastAsia"/>
                <w:color w:val="auto"/>
                <w:kern w:val="0"/>
                <w:sz w:val="21"/>
                <w:highlight w:val="none"/>
              </w:rPr>
              <w:t xml:space="preserve">840.00 </w:t>
            </w:r>
          </w:p>
        </w:tc>
      </w:tr>
      <w:tr>
        <w:tblPrEx>
          <w:tblW w:w="9980" w:type="dxa"/>
          <w:jc w:val="center"/>
          <w:tblLayout w:type="fixed"/>
          <w:tblCellMar>
            <w:top w:w="0" w:type="dxa"/>
            <w:left w:w="108" w:type="dxa"/>
            <w:bottom w:w="0" w:type="dxa"/>
            <w:right w:w="108" w:type="dxa"/>
          </w:tblCellMar>
        </w:tblPrEx>
        <w:trPr>
          <w:trHeight w:val="290"/>
          <w:jc w:val="center"/>
        </w:trPr>
        <w:tc>
          <w:tcPr>
            <w:tcW w:w="1269" w:type="dxa"/>
            <w:vMerge/>
            <w:tcBorders>
              <w:top w:val="nil"/>
              <w:left w:val="single" w:sz="8" w:space="0" w:color="auto"/>
              <w:bottom w:val="single" w:sz="8" w:space="0" w:color="000000"/>
              <w:right w:val="single" w:sz="8" w:space="0" w:color="auto"/>
            </w:tcBorders>
            <w:vAlign w:val="center"/>
          </w:tcPr>
          <w:p>
            <w:pPr>
              <w:widowControl/>
              <w:spacing w:before="0" w:beforeAutospacing="0" w:after="0" w:afterAutospacing="0" w:line="240" w:lineRule="auto"/>
              <w:ind w:left="0" w:firstLine="0" w:firstLineChars="0"/>
              <w:jc w:val="left"/>
              <w:rPr>
                <w:rFonts w:ascii="Times New Roman" w:eastAsia="宋体" w:hAnsi="Times New Roman" w:cs="宋体"/>
                <w:color w:val="auto"/>
                <w:kern w:val="0"/>
                <w:sz w:val="21"/>
                <w:highlight w:val="none"/>
              </w:rPr>
            </w:pPr>
          </w:p>
        </w:tc>
        <w:tc>
          <w:tcPr>
            <w:tcW w:w="1131" w:type="dxa"/>
            <w:tcBorders>
              <w:top w:val="nil"/>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color w:val="auto"/>
                <w:kern w:val="0"/>
                <w:sz w:val="21"/>
                <w:highlight w:val="none"/>
              </w:rPr>
            </w:pPr>
            <w:r>
              <w:rPr>
                <w:rFonts w:ascii="Times New Roman" w:eastAsia="宋体" w:hAnsi="Times New Roman" w:cs="宋体" w:hint="eastAsia"/>
                <w:color w:val="auto"/>
                <w:kern w:val="0"/>
                <w:sz w:val="21"/>
                <w:highlight w:val="none"/>
              </w:rPr>
              <w:t>综合接入机房</w:t>
            </w:r>
          </w:p>
        </w:tc>
        <w:tc>
          <w:tcPr>
            <w:tcW w:w="960" w:type="dxa"/>
            <w:tcBorders>
              <w:top w:val="nil"/>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color w:val="auto"/>
                <w:kern w:val="0"/>
                <w:sz w:val="21"/>
                <w:highlight w:val="none"/>
              </w:rPr>
            </w:pPr>
            <w:r>
              <w:rPr>
                <w:rFonts w:ascii="Times New Roman" w:eastAsia="宋体" w:hAnsi="Times New Roman" w:cs="宋体" w:hint="eastAsia"/>
                <w:color w:val="auto"/>
                <w:kern w:val="0"/>
                <w:sz w:val="21"/>
                <w:highlight w:val="none"/>
              </w:rPr>
              <w:t>㎡</w:t>
            </w:r>
          </w:p>
        </w:tc>
        <w:tc>
          <w:tcPr>
            <w:tcW w:w="960" w:type="dxa"/>
            <w:tcBorders>
              <w:top w:val="nil"/>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color w:val="auto"/>
                <w:kern w:val="0"/>
                <w:sz w:val="21"/>
                <w:highlight w:val="none"/>
              </w:rPr>
            </w:pPr>
            <w:r>
              <w:rPr>
                <w:rFonts w:ascii="Times New Roman" w:eastAsia="宋体" w:hAnsi="Times New Roman" w:cs="宋体" w:hint="eastAsia"/>
                <w:color w:val="auto"/>
                <w:kern w:val="0"/>
                <w:sz w:val="21"/>
                <w:highlight w:val="none"/>
              </w:rPr>
              <w:t>3.18</w:t>
            </w:r>
          </w:p>
        </w:tc>
        <w:tc>
          <w:tcPr>
            <w:tcW w:w="1140" w:type="dxa"/>
            <w:tcBorders>
              <w:top w:val="nil"/>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color w:val="auto"/>
                <w:kern w:val="0"/>
                <w:sz w:val="21"/>
                <w:highlight w:val="none"/>
              </w:rPr>
            </w:pPr>
            <w:r>
              <w:rPr>
                <w:rFonts w:ascii="Times New Roman" w:eastAsia="宋体" w:hAnsi="Times New Roman" w:cs="宋体" w:hint="eastAsia"/>
                <w:color w:val="auto"/>
                <w:kern w:val="0"/>
                <w:sz w:val="21"/>
                <w:highlight w:val="none"/>
              </w:rPr>
              <w:t xml:space="preserve">7015.08 </w:t>
            </w:r>
          </w:p>
        </w:tc>
        <w:tc>
          <w:tcPr>
            <w:tcW w:w="1140" w:type="dxa"/>
            <w:tcBorders>
              <w:top w:val="nil"/>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color w:val="auto"/>
                <w:kern w:val="0"/>
                <w:sz w:val="21"/>
                <w:highlight w:val="none"/>
              </w:rPr>
            </w:pPr>
            <w:r>
              <w:rPr>
                <w:rFonts w:ascii="Times New Roman" w:eastAsia="宋体" w:hAnsi="Times New Roman" w:cs="宋体" w:hint="eastAsia"/>
                <w:color w:val="auto"/>
                <w:kern w:val="0"/>
                <w:sz w:val="21"/>
                <w:highlight w:val="none"/>
              </w:rPr>
              <w:t xml:space="preserve">3835.08 </w:t>
            </w:r>
          </w:p>
        </w:tc>
        <w:tc>
          <w:tcPr>
            <w:tcW w:w="1140" w:type="dxa"/>
            <w:tcBorders>
              <w:top w:val="nil"/>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color w:val="auto"/>
                <w:kern w:val="0"/>
                <w:sz w:val="21"/>
                <w:highlight w:val="none"/>
              </w:rPr>
            </w:pPr>
            <w:r>
              <w:rPr>
                <w:rFonts w:ascii="Times New Roman" w:eastAsia="宋体" w:hAnsi="Times New Roman" w:cs="宋体" w:hint="eastAsia"/>
                <w:color w:val="auto"/>
                <w:kern w:val="0"/>
                <w:sz w:val="21"/>
                <w:highlight w:val="none"/>
              </w:rPr>
              <w:t xml:space="preserve">6639.84 </w:t>
            </w:r>
          </w:p>
        </w:tc>
        <w:tc>
          <w:tcPr>
            <w:tcW w:w="2240" w:type="dxa"/>
            <w:tcBorders>
              <w:top w:val="nil"/>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color w:val="auto"/>
                <w:kern w:val="0"/>
                <w:sz w:val="21"/>
                <w:highlight w:val="none"/>
              </w:rPr>
            </w:pPr>
            <w:r>
              <w:rPr>
                <w:rFonts w:ascii="Times New Roman" w:eastAsia="宋体" w:hAnsi="Times New Roman" w:cs="宋体" w:hint="eastAsia"/>
                <w:color w:val="auto"/>
                <w:kern w:val="0"/>
                <w:sz w:val="21"/>
                <w:highlight w:val="none"/>
              </w:rPr>
              <w:t xml:space="preserve">17490.00 </w:t>
            </w:r>
          </w:p>
        </w:tc>
      </w:tr>
      <w:tr>
        <w:tblPrEx>
          <w:tblW w:w="9980" w:type="dxa"/>
          <w:jc w:val="center"/>
          <w:tblLayout w:type="fixed"/>
          <w:tblCellMar>
            <w:top w:w="0" w:type="dxa"/>
            <w:left w:w="108" w:type="dxa"/>
            <w:bottom w:w="0" w:type="dxa"/>
            <w:right w:w="108" w:type="dxa"/>
          </w:tblCellMar>
        </w:tblPrEx>
        <w:trPr>
          <w:trHeight w:val="290"/>
          <w:jc w:val="center"/>
        </w:trPr>
        <w:tc>
          <w:tcPr>
            <w:tcW w:w="1269" w:type="dxa"/>
            <w:tcBorders>
              <w:top w:val="nil"/>
              <w:left w:val="single" w:sz="8" w:space="0" w:color="auto"/>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color w:val="auto"/>
                <w:kern w:val="0"/>
                <w:sz w:val="21"/>
                <w:highlight w:val="none"/>
              </w:rPr>
            </w:pPr>
            <w:r>
              <w:rPr>
                <w:rFonts w:ascii="Times New Roman" w:eastAsia="宋体" w:hAnsi="Times New Roman" w:cs="宋体" w:hint="eastAsia"/>
                <w:color w:val="auto"/>
                <w:kern w:val="0"/>
                <w:sz w:val="21"/>
                <w:highlight w:val="none"/>
              </w:rPr>
              <w:t>通信管道</w:t>
            </w:r>
          </w:p>
        </w:tc>
        <w:tc>
          <w:tcPr>
            <w:tcW w:w="1131" w:type="dxa"/>
            <w:tcBorders>
              <w:top w:val="nil"/>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hint="default"/>
                <w:color w:val="auto"/>
                <w:kern w:val="0"/>
                <w:sz w:val="21"/>
                <w:highlight w:val="none"/>
                <w:lang w:val="en-US" w:eastAsia="zh-CN"/>
              </w:rPr>
            </w:pPr>
            <w:r>
              <w:rPr>
                <w:rFonts w:ascii="Times New Roman" w:eastAsia="宋体" w:hAnsi="Times New Roman" w:cs="宋体" w:hint="eastAsia"/>
                <w:color w:val="auto"/>
                <w:kern w:val="0"/>
                <w:sz w:val="21"/>
                <w:highlight w:val="none"/>
                <w:lang w:val="en-US" w:eastAsia="zh-CN"/>
              </w:rPr>
              <w:t>传输管道</w:t>
            </w:r>
          </w:p>
        </w:tc>
        <w:tc>
          <w:tcPr>
            <w:tcW w:w="960" w:type="dxa"/>
            <w:tcBorders>
              <w:top w:val="nil"/>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color w:val="auto"/>
                <w:kern w:val="0"/>
                <w:sz w:val="21"/>
                <w:highlight w:val="none"/>
              </w:rPr>
            </w:pPr>
            <w:r>
              <w:rPr>
                <w:rFonts w:ascii="Times New Roman" w:eastAsia="宋体" w:hAnsi="Times New Roman" w:cs="宋体" w:hint="eastAsia"/>
                <w:color w:val="auto"/>
                <w:kern w:val="0"/>
                <w:sz w:val="21"/>
                <w:highlight w:val="none"/>
              </w:rPr>
              <w:t>㎞</w:t>
            </w:r>
          </w:p>
        </w:tc>
        <w:tc>
          <w:tcPr>
            <w:tcW w:w="960" w:type="dxa"/>
            <w:tcBorders>
              <w:top w:val="nil"/>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color w:val="auto"/>
                <w:kern w:val="0"/>
                <w:sz w:val="21"/>
                <w:highlight w:val="none"/>
              </w:rPr>
            </w:pPr>
            <w:r>
              <w:rPr>
                <w:rFonts w:ascii="Times New Roman" w:eastAsia="宋体" w:hAnsi="Times New Roman" w:cs="宋体" w:hint="eastAsia"/>
                <w:color w:val="auto"/>
                <w:kern w:val="0"/>
                <w:sz w:val="21"/>
                <w:highlight w:val="none"/>
              </w:rPr>
              <w:t>61.48</w:t>
            </w:r>
          </w:p>
        </w:tc>
        <w:tc>
          <w:tcPr>
            <w:tcW w:w="1140" w:type="dxa"/>
            <w:tcBorders>
              <w:top w:val="nil"/>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color w:val="auto"/>
                <w:kern w:val="0"/>
                <w:sz w:val="21"/>
                <w:highlight w:val="none"/>
              </w:rPr>
            </w:pPr>
            <w:r>
              <w:rPr>
                <w:rFonts w:ascii="Times New Roman" w:eastAsia="宋体" w:hAnsi="Times New Roman" w:cs="宋体" w:hint="eastAsia"/>
                <w:color w:val="auto"/>
                <w:kern w:val="0"/>
                <w:sz w:val="21"/>
                <w:highlight w:val="none"/>
              </w:rPr>
              <w:t xml:space="preserve">17029.96 </w:t>
            </w:r>
          </w:p>
        </w:tc>
        <w:tc>
          <w:tcPr>
            <w:tcW w:w="1140" w:type="dxa"/>
            <w:tcBorders>
              <w:top w:val="nil"/>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color w:val="auto"/>
                <w:kern w:val="0"/>
                <w:sz w:val="21"/>
                <w:highlight w:val="none"/>
              </w:rPr>
            </w:pPr>
            <w:r>
              <w:rPr>
                <w:rFonts w:ascii="Times New Roman" w:eastAsia="宋体" w:hAnsi="Times New Roman" w:cs="宋体" w:hint="eastAsia"/>
                <w:color w:val="auto"/>
                <w:kern w:val="0"/>
                <w:sz w:val="21"/>
                <w:highlight w:val="none"/>
              </w:rPr>
              <w:t xml:space="preserve">10636.04 </w:t>
            </w:r>
          </w:p>
        </w:tc>
        <w:tc>
          <w:tcPr>
            <w:tcW w:w="1140" w:type="dxa"/>
            <w:tcBorders>
              <w:top w:val="nil"/>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color w:val="auto"/>
                <w:kern w:val="0"/>
                <w:sz w:val="21"/>
                <w:highlight w:val="none"/>
              </w:rPr>
            </w:pPr>
            <w:r>
              <w:rPr>
                <w:rFonts w:ascii="Times New Roman" w:eastAsia="宋体" w:hAnsi="Times New Roman" w:cs="宋体" w:hint="eastAsia"/>
                <w:color w:val="auto"/>
                <w:kern w:val="0"/>
                <w:sz w:val="21"/>
                <w:highlight w:val="none"/>
              </w:rPr>
              <w:t xml:space="preserve">64431.04 </w:t>
            </w:r>
          </w:p>
        </w:tc>
        <w:tc>
          <w:tcPr>
            <w:tcW w:w="2240" w:type="dxa"/>
            <w:tcBorders>
              <w:top w:val="nil"/>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color w:val="auto"/>
                <w:kern w:val="0"/>
                <w:sz w:val="21"/>
                <w:highlight w:val="none"/>
              </w:rPr>
            </w:pPr>
            <w:r>
              <w:rPr>
                <w:rFonts w:ascii="Times New Roman" w:eastAsia="宋体" w:hAnsi="Times New Roman" w:cs="宋体" w:hint="eastAsia"/>
                <w:color w:val="auto"/>
                <w:kern w:val="0"/>
                <w:sz w:val="21"/>
                <w:highlight w:val="none"/>
              </w:rPr>
              <w:t xml:space="preserve">92097.04 </w:t>
            </w:r>
          </w:p>
        </w:tc>
      </w:tr>
      <w:tr>
        <w:tblPrEx>
          <w:tblW w:w="9980" w:type="dxa"/>
          <w:jc w:val="center"/>
          <w:tblLayout w:type="fixed"/>
          <w:tblCellMar>
            <w:top w:w="0" w:type="dxa"/>
            <w:left w:w="108" w:type="dxa"/>
            <w:bottom w:w="0" w:type="dxa"/>
            <w:right w:w="108" w:type="dxa"/>
          </w:tblCellMar>
        </w:tblPrEx>
        <w:trPr>
          <w:trHeight w:val="290"/>
          <w:jc w:val="center"/>
        </w:trPr>
        <w:tc>
          <w:tcPr>
            <w:tcW w:w="1269" w:type="dxa"/>
            <w:tcBorders>
              <w:top w:val="nil"/>
              <w:left w:val="single" w:sz="8" w:space="0" w:color="auto"/>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color w:val="auto"/>
                <w:kern w:val="0"/>
                <w:sz w:val="21"/>
                <w:highlight w:val="none"/>
              </w:rPr>
            </w:pPr>
            <w:r>
              <w:rPr>
                <w:rFonts w:ascii="Times New Roman" w:eastAsia="宋体" w:hAnsi="Times New Roman" w:cs="宋体" w:hint="eastAsia"/>
                <w:color w:val="auto"/>
                <w:kern w:val="0"/>
                <w:sz w:val="21"/>
                <w:highlight w:val="none"/>
              </w:rPr>
              <w:t>通信光交</w:t>
            </w:r>
          </w:p>
        </w:tc>
        <w:tc>
          <w:tcPr>
            <w:tcW w:w="1131" w:type="dxa"/>
            <w:tcBorders>
              <w:top w:val="nil"/>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color w:val="auto"/>
                <w:kern w:val="0"/>
                <w:sz w:val="21"/>
                <w:highlight w:val="none"/>
              </w:rPr>
            </w:pPr>
            <w:r>
              <w:rPr>
                <w:rFonts w:ascii="Times New Roman" w:eastAsia="宋体" w:hAnsi="Times New Roman" w:cs="宋体" w:hint="eastAsia"/>
                <w:color w:val="auto"/>
                <w:kern w:val="0"/>
                <w:sz w:val="21"/>
                <w:highlight w:val="none"/>
              </w:rPr>
              <w:t>光交节点</w:t>
            </w:r>
          </w:p>
        </w:tc>
        <w:tc>
          <w:tcPr>
            <w:tcW w:w="960" w:type="dxa"/>
            <w:tcBorders>
              <w:top w:val="nil"/>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color w:val="auto"/>
                <w:kern w:val="0"/>
                <w:sz w:val="21"/>
                <w:highlight w:val="none"/>
              </w:rPr>
            </w:pPr>
            <w:r>
              <w:rPr>
                <w:rFonts w:ascii="Times New Roman" w:eastAsia="宋体" w:hAnsi="Times New Roman" w:cs="宋体" w:hint="eastAsia"/>
                <w:color w:val="auto"/>
                <w:kern w:val="0"/>
                <w:sz w:val="21"/>
                <w:highlight w:val="none"/>
              </w:rPr>
              <w:t>个</w:t>
            </w:r>
          </w:p>
        </w:tc>
        <w:tc>
          <w:tcPr>
            <w:tcW w:w="960" w:type="dxa"/>
            <w:tcBorders>
              <w:top w:val="nil"/>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color w:val="auto"/>
                <w:kern w:val="0"/>
                <w:sz w:val="21"/>
                <w:highlight w:val="none"/>
              </w:rPr>
            </w:pPr>
            <w:r>
              <w:rPr>
                <w:rFonts w:ascii="Times New Roman" w:eastAsia="宋体" w:hAnsi="Times New Roman" w:cs="宋体" w:hint="eastAsia"/>
                <w:color w:val="auto"/>
                <w:kern w:val="0"/>
                <w:sz w:val="21"/>
                <w:highlight w:val="none"/>
              </w:rPr>
              <w:t>1.17</w:t>
            </w:r>
          </w:p>
        </w:tc>
        <w:tc>
          <w:tcPr>
            <w:tcW w:w="1140" w:type="dxa"/>
            <w:tcBorders>
              <w:top w:val="nil"/>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color w:val="auto"/>
                <w:kern w:val="0"/>
                <w:sz w:val="21"/>
                <w:highlight w:val="none"/>
              </w:rPr>
            </w:pPr>
            <w:r>
              <w:rPr>
                <w:rFonts w:ascii="Times New Roman" w:eastAsia="宋体" w:hAnsi="Times New Roman" w:cs="宋体" w:hint="eastAsia"/>
                <w:color w:val="auto"/>
                <w:kern w:val="0"/>
                <w:sz w:val="21"/>
                <w:highlight w:val="none"/>
              </w:rPr>
              <w:t xml:space="preserve">148.59 </w:t>
            </w:r>
          </w:p>
        </w:tc>
        <w:tc>
          <w:tcPr>
            <w:tcW w:w="1140" w:type="dxa"/>
            <w:tcBorders>
              <w:top w:val="nil"/>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color w:val="auto"/>
                <w:kern w:val="0"/>
                <w:sz w:val="21"/>
                <w:highlight w:val="none"/>
              </w:rPr>
            </w:pPr>
            <w:r>
              <w:rPr>
                <w:rFonts w:ascii="Times New Roman" w:eastAsia="宋体" w:hAnsi="Times New Roman" w:cs="宋体" w:hint="eastAsia"/>
                <w:color w:val="auto"/>
                <w:kern w:val="0"/>
                <w:sz w:val="21"/>
                <w:highlight w:val="none"/>
              </w:rPr>
              <w:t xml:space="preserve">156.78 </w:t>
            </w:r>
          </w:p>
        </w:tc>
        <w:tc>
          <w:tcPr>
            <w:tcW w:w="1140" w:type="dxa"/>
            <w:tcBorders>
              <w:top w:val="nil"/>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color w:val="auto"/>
                <w:kern w:val="0"/>
                <w:sz w:val="21"/>
                <w:highlight w:val="none"/>
              </w:rPr>
            </w:pPr>
            <w:r>
              <w:rPr>
                <w:rFonts w:ascii="Times New Roman" w:eastAsia="宋体" w:hAnsi="Times New Roman" w:cs="宋体" w:hint="eastAsia"/>
                <w:color w:val="auto"/>
                <w:kern w:val="0"/>
                <w:sz w:val="21"/>
                <w:highlight w:val="none"/>
              </w:rPr>
              <w:t xml:space="preserve">556.92 </w:t>
            </w:r>
          </w:p>
        </w:tc>
        <w:tc>
          <w:tcPr>
            <w:tcW w:w="2240" w:type="dxa"/>
            <w:tcBorders>
              <w:top w:val="nil"/>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color w:val="auto"/>
                <w:kern w:val="0"/>
                <w:sz w:val="21"/>
                <w:highlight w:val="none"/>
              </w:rPr>
            </w:pPr>
            <w:r>
              <w:rPr>
                <w:rFonts w:ascii="Times New Roman" w:eastAsia="宋体" w:hAnsi="Times New Roman" w:cs="宋体" w:hint="eastAsia"/>
                <w:color w:val="auto"/>
                <w:kern w:val="0"/>
                <w:sz w:val="21"/>
                <w:highlight w:val="none"/>
              </w:rPr>
              <w:t xml:space="preserve">862.29 </w:t>
            </w:r>
          </w:p>
        </w:tc>
      </w:tr>
      <w:tr>
        <w:tblPrEx>
          <w:tblW w:w="9980" w:type="dxa"/>
          <w:jc w:val="center"/>
          <w:tblLayout w:type="fixed"/>
          <w:tblCellMar>
            <w:top w:w="0" w:type="dxa"/>
            <w:left w:w="108" w:type="dxa"/>
            <w:bottom w:w="0" w:type="dxa"/>
            <w:right w:w="108" w:type="dxa"/>
          </w:tblCellMar>
        </w:tblPrEx>
        <w:trPr>
          <w:trHeight w:val="290"/>
          <w:jc w:val="center"/>
        </w:trPr>
        <w:tc>
          <w:tcPr>
            <w:tcW w:w="1269" w:type="dxa"/>
            <w:tcBorders>
              <w:top w:val="nil"/>
              <w:left w:val="single" w:sz="8" w:space="0" w:color="auto"/>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color w:val="auto"/>
                <w:kern w:val="0"/>
                <w:sz w:val="21"/>
                <w:highlight w:val="none"/>
              </w:rPr>
            </w:pPr>
            <w:r>
              <w:rPr>
                <w:rFonts w:ascii="Times New Roman" w:eastAsia="宋体" w:hAnsi="Times New Roman" w:cs="宋体" w:hint="eastAsia"/>
                <w:color w:val="auto"/>
                <w:kern w:val="0"/>
                <w:sz w:val="21"/>
                <w:highlight w:val="none"/>
              </w:rPr>
              <w:t>通信杆路</w:t>
            </w:r>
          </w:p>
        </w:tc>
        <w:tc>
          <w:tcPr>
            <w:tcW w:w="1131" w:type="dxa"/>
            <w:tcBorders>
              <w:top w:val="nil"/>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color w:val="auto"/>
                <w:kern w:val="0"/>
                <w:sz w:val="21"/>
                <w:highlight w:val="none"/>
              </w:rPr>
            </w:pPr>
            <w:r>
              <w:rPr>
                <w:rFonts w:ascii="Times New Roman" w:eastAsia="宋体" w:hAnsi="Times New Roman" w:cs="宋体" w:hint="eastAsia"/>
                <w:color w:val="auto"/>
                <w:kern w:val="0"/>
                <w:sz w:val="21"/>
                <w:highlight w:val="none"/>
              </w:rPr>
              <w:t>杆路</w:t>
            </w:r>
          </w:p>
        </w:tc>
        <w:tc>
          <w:tcPr>
            <w:tcW w:w="960" w:type="dxa"/>
            <w:tcBorders>
              <w:top w:val="nil"/>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color w:val="auto"/>
                <w:kern w:val="0"/>
                <w:sz w:val="21"/>
                <w:highlight w:val="none"/>
              </w:rPr>
            </w:pPr>
            <w:r>
              <w:rPr>
                <w:rFonts w:ascii="Times New Roman" w:eastAsia="宋体" w:hAnsi="Times New Roman" w:cs="宋体" w:hint="eastAsia"/>
                <w:color w:val="auto"/>
                <w:kern w:val="0"/>
                <w:sz w:val="21"/>
                <w:highlight w:val="none"/>
              </w:rPr>
              <w:t>㎞</w:t>
            </w:r>
          </w:p>
        </w:tc>
        <w:tc>
          <w:tcPr>
            <w:tcW w:w="960" w:type="dxa"/>
            <w:tcBorders>
              <w:top w:val="nil"/>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color w:val="auto"/>
                <w:kern w:val="0"/>
                <w:sz w:val="21"/>
                <w:highlight w:val="none"/>
              </w:rPr>
            </w:pPr>
            <w:r>
              <w:rPr>
                <w:rFonts w:ascii="Times New Roman" w:eastAsia="宋体" w:hAnsi="Times New Roman" w:cs="宋体" w:hint="eastAsia"/>
                <w:color w:val="auto"/>
                <w:kern w:val="0"/>
                <w:sz w:val="21"/>
                <w:highlight w:val="none"/>
              </w:rPr>
              <w:t>2.12</w:t>
            </w:r>
          </w:p>
        </w:tc>
        <w:tc>
          <w:tcPr>
            <w:tcW w:w="3420" w:type="dxa"/>
            <w:gridSpan w:val="3"/>
            <w:tcBorders>
              <w:top w:val="single" w:sz="8" w:space="0" w:color="auto"/>
              <w:left w:val="nil"/>
              <w:bottom w:val="single" w:sz="8" w:space="0" w:color="auto"/>
              <w:right w:val="single" w:sz="8" w:space="0" w:color="000000"/>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color w:val="auto"/>
                <w:kern w:val="0"/>
                <w:sz w:val="21"/>
                <w:highlight w:val="none"/>
              </w:rPr>
            </w:pPr>
            <w:r>
              <w:rPr>
                <w:rFonts w:ascii="Times New Roman" w:eastAsia="宋体" w:hAnsi="Times New Roman" w:cs="宋体" w:hint="eastAsia"/>
                <w:color w:val="auto"/>
                <w:kern w:val="0"/>
                <w:sz w:val="21"/>
                <w:highlight w:val="none"/>
              </w:rPr>
              <w:t xml:space="preserve">549.87 </w:t>
            </w:r>
          </w:p>
        </w:tc>
        <w:tc>
          <w:tcPr>
            <w:tcW w:w="2240" w:type="dxa"/>
            <w:tcBorders>
              <w:top w:val="nil"/>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color w:val="auto"/>
                <w:kern w:val="0"/>
                <w:sz w:val="21"/>
                <w:highlight w:val="none"/>
              </w:rPr>
            </w:pPr>
            <w:r>
              <w:rPr>
                <w:rFonts w:ascii="Times New Roman" w:eastAsia="宋体" w:hAnsi="Times New Roman" w:cs="宋体" w:hint="eastAsia"/>
                <w:color w:val="auto"/>
                <w:kern w:val="0"/>
                <w:sz w:val="21"/>
                <w:highlight w:val="none"/>
              </w:rPr>
              <w:t xml:space="preserve">549.87 </w:t>
            </w:r>
          </w:p>
        </w:tc>
      </w:tr>
      <w:tr>
        <w:tblPrEx>
          <w:tblW w:w="9980" w:type="dxa"/>
          <w:jc w:val="center"/>
          <w:tblLayout w:type="fixed"/>
          <w:tblCellMar>
            <w:top w:w="0" w:type="dxa"/>
            <w:left w:w="108" w:type="dxa"/>
            <w:bottom w:w="0" w:type="dxa"/>
            <w:right w:w="108" w:type="dxa"/>
          </w:tblCellMar>
        </w:tblPrEx>
        <w:trPr>
          <w:trHeight w:val="290"/>
          <w:jc w:val="center"/>
        </w:trPr>
        <w:tc>
          <w:tcPr>
            <w:tcW w:w="774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color w:val="auto"/>
                <w:kern w:val="0"/>
                <w:sz w:val="21"/>
                <w:highlight w:val="none"/>
              </w:rPr>
            </w:pPr>
            <w:r>
              <w:rPr>
                <w:rFonts w:ascii="Times New Roman" w:eastAsia="宋体" w:hAnsi="Times New Roman" w:cs="宋体" w:hint="eastAsia"/>
                <w:color w:val="auto"/>
                <w:kern w:val="0"/>
                <w:sz w:val="21"/>
                <w:highlight w:val="none"/>
              </w:rPr>
              <w:t>合计</w:t>
            </w:r>
          </w:p>
        </w:tc>
        <w:tc>
          <w:tcPr>
            <w:tcW w:w="2240" w:type="dxa"/>
            <w:tcBorders>
              <w:top w:val="nil"/>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firstLineChars="0"/>
              <w:jc w:val="center"/>
              <w:rPr>
                <w:rFonts w:ascii="Times New Roman" w:eastAsia="宋体" w:hAnsi="Times New Roman" w:cs="宋体"/>
                <w:color w:val="auto"/>
                <w:kern w:val="0"/>
                <w:sz w:val="21"/>
                <w:highlight w:val="none"/>
              </w:rPr>
            </w:pPr>
            <w:r>
              <w:rPr>
                <w:rFonts w:ascii="Times New Roman" w:eastAsia="宋体" w:hAnsi="Times New Roman" w:cs="宋体" w:hint="eastAsia"/>
                <w:color w:val="auto"/>
                <w:kern w:val="0"/>
                <w:sz w:val="21"/>
                <w:highlight w:val="none"/>
              </w:rPr>
              <w:t xml:space="preserve">111839.20 </w:t>
            </w:r>
          </w:p>
        </w:tc>
      </w:tr>
    </w:tbl>
    <w:p>
      <w:pPr>
        <w:pStyle w:val="NormalIndent"/>
        <w:ind w:left="0" w:firstLine="0" w:firstLineChars="0"/>
        <w:rPr>
          <w:color w:val="auto"/>
          <w:highlight w:val="none"/>
        </w:rPr>
      </w:pP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lang w:val="en-US" w:eastAsia="zh-CN"/>
        </w:rPr>
        <w:t>4、</w:t>
      </w:r>
      <w:r>
        <w:rPr>
          <w:rFonts w:ascii="Times New Roman" w:eastAsia="宋体" w:hAnsi="Times New Roman" w:hint="eastAsia"/>
          <w:color w:val="auto"/>
          <w:sz w:val="24"/>
          <w:highlight w:val="none"/>
        </w:rPr>
        <w:t>投资估算汇总</w:t>
      </w:r>
    </w:p>
    <w:p>
      <w:pPr>
        <w:pStyle w:val="Body"/>
        <w:spacing w:after="0" w:line="240" w:lineRule="auto"/>
        <w:ind w:right="0" w:firstLine="480"/>
        <w:rPr>
          <w:rFonts w:hint="eastAsia"/>
          <w:color w:val="auto"/>
          <w:highlight w:val="none"/>
        </w:rPr>
      </w:pPr>
      <w:r>
        <w:rPr>
          <w:rFonts w:hint="eastAsia"/>
          <w:color w:val="auto"/>
          <w:highlight w:val="none"/>
        </w:rPr>
        <w:t>玉林市（2021-2035年）目标规划总投资为</w:t>
      </w:r>
      <w:r>
        <w:rPr>
          <w:rFonts w:ascii="Times New Roman" w:eastAsia="宋体" w:hAnsi="Times New Roman" w:cs="宋体" w:hint="eastAsia"/>
          <w:b w:val="0"/>
          <w:bCs w:val="0"/>
          <w:color w:val="auto"/>
          <w:kern w:val="0"/>
          <w:sz w:val="24"/>
          <w:szCs w:val="24"/>
          <w:highlight w:val="none"/>
        </w:rPr>
        <w:t>594113.02</w:t>
      </w:r>
      <w:r>
        <w:rPr>
          <w:rFonts w:hint="eastAsia"/>
          <w:color w:val="auto"/>
          <w:highlight w:val="none"/>
        </w:rPr>
        <w:t>万元，具体规划投资如下表所示：</w:t>
      </w:r>
    </w:p>
    <w:p>
      <w:pPr>
        <w:pStyle w:val="10"/>
        <w:spacing w:line="240" w:lineRule="auto"/>
        <w:ind w:left="0" w:firstLine="0" w:firstLineChars="0"/>
        <w:jc w:val="center"/>
        <w:rPr>
          <w:rFonts w:ascii="Times New Roman" w:eastAsia="宋体" w:hAnsi="Times New Roman" w:hint="eastAsia"/>
          <w:b/>
          <w:bCs/>
          <w:color w:val="auto"/>
          <w:szCs w:val="21"/>
          <w:highlight w:val="none"/>
        </w:rPr>
      </w:pPr>
      <w:r>
        <w:rPr>
          <w:rFonts w:ascii="Times New Roman" w:eastAsia="宋体" w:hAnsi="Times New Roman" w:hint="eastAsia"/>
          <w:b/>
          <w:bCs/>
          <w:color w:val="auto"/>
          <w:szCs w:val="21"/>
          <w:highlight w:val="none"/>
          <w:lang w:val="en-US" w:eastAsia="zh-CN"/>
        </w:rPr>
        <w:t>表13-6 投资估算汇总</w:t>
      </w:r>
      <w:r>
        <w:rPr>
          <w:rFonts w:ascii="Times New Roman" w:eastAsia="宋体" w:hAnsi="Times New Roman" w:hint="eastAsia"/>
          <w:b/>
          <w:bCs/>
          <w:color w:val="auto"/>
          <w:szCs w:val="21"/>
          <w:highlight w:val="none"/>
        </w:rPr>
        <w:t>表</w:t>
      </w:r>
    </w:p>
    <w:p>
      <w:pPr>
        <w:pStyle w:val="Body"/>
        <w:spacing w:after="0" w:line="240" w:lineRule="auto"/>
        <w:ind w:right="0" w:firstLine="480"/>
        <w:rPr>
          <w:rFonts w:hint="eastAsia"/>
          <w:color w:val="auto"/>
          <w:highlight w:val="none"/>
        </w:rPr>
      </w:pPr>
    </w:p>
    <w:tbl>
      <w:tblPr>
        <w:tblStyle w:val="TableNormal"/>
        <w:tblW w:w="8500" w:type="dxa"/>
        <w:jc w:val="center"/>
        <w:tblLayout w:type="fixed"/>
        <w:tblCellMar>
          <w:top w:w="0" w:type="dxa"/>
          <w:left w:w="108" w:type="dxa"/>
          <w:bottom w:w="0" w:type="dxa"/>
          <w:right w:w="108" w:type="dxa"/>
        </w:tblCellMar>
      </w:tblPr>
      <w:tblGrid>
        <w:gridCol w:w="1740"/>
        <w:gridCol w:w="2085"/>
        <w:gridCol w:w="2550"/>
        <w:gridCol w:w="2125"/>
      </w:tblGrid>
      <w:tr>
        <w:tblPrEx>
          <w:tblW w:w="8500" w:type="dxa"/>
          <w:jc w:val="center"/>
          <w:tblLayout w:type="fixed"/>
          <w:tblCellMar>
            <w:top w:w="0" w:type="dxa"/>
            <w:left w:w="108" w:type="dxa"/>
            <w:bottom w:w="0" w:type="dxa"/>
            <w:right w:w="108" w:type="dxa"/>
          </w:tblCellMar>
        </w:tblPrEx>
        <w:trPr>
          <w:trHeight w:val="290"/>
          <w:jc w:val="center"/>
        </w:trPr>
        <w:tc>
          <w:tcPr>
            <w:tcW w:w="1740" w:type="dxa"/>
            <w:tcBorders>
              <w:top w:val="single" w:sz="8" w:space="0" w:color="auto"/>
              <w:left w:val="single" w:sz="8" w:space="0" w:color="auto"/>
              <w:bottom w:val="single" w:sz="8" w:space="0" w:color="auto"/>
              <w:right w:val="single" w:sz="8" w:space="0" w:color="auto"/>
            </w:tcBorders>
            <w:shd w:val="clear" w:color="000000" w:fill="FFFFFF"/>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b/>
                <w:bCs/>
                <w:color w:val="auto"/>
                <w:kern w:val="0"/>
                <w:sz w:val="21"/>
                <w:highlight w:val="none"/>
              </w:rPr>
            </w:pPr>
            <w:r>
              <w:rPr>
                <w:rFonts w:ascii="Times New Roman" w:eastAsia="宋体" w:hAnsi="Times New Roman" w:cs="宋体" w:hint="eastAsia"/>
                <w:b/>
                <w:bCs/>
                <w:color w:val="auto"/>
                <w:kern w:val="0"/>
                <w:sz w:val="21"/>
                <w:highlight w:val="none"/>
              </w:rPr>
              <w:t>分类</w:t>
            </w:r>
          </w:p>
        </w:tc>
        <w:tc>
          <w:tcPr>
            <w:tcW w:w="2085" w:type="dxa"/>
            <w:tcBorders>
              <w:top w:val="single" w:sz="8" w:space="0" w:color="auto"/>
              <w:left w:val="nil"/>
              <w:bottom w:val="single" w:sz="8" w:space="0" w:color="auto"/>
              <w:right w:val="single" w:sz="8" w:space="0" w:color="auto"/>
            </w:tcBorders>
            <w:shd w:val="clear" w:color="000000" w:fill="FFFFFF"/>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b/>
                <w:bCs/>
                <w:color w:val="auto"/>
                <w:kern w:val="0"/>
                <w:sz w:val="21"/>
                <w:highlight w:val="none"/>
              </w:rPr>
            </w:pPr>
            <w:r>
              <w:rPr>
                <w:rFonts w:ascii="Times New Roman" w:eastAsia="宋体" w:hAnsi="Times New Roman" w:cs="宋体" w:hint="eastAsia"/>
                <w:b/>
                <w:bCs/>
                <w:color w:val="auto"/>
                <w:kern w:val="0"/>
                <w:sz w:val="21"/>
                <w:highlight w:val="none"/>
              </w:rPr>
              <w:t>近期</w:t>
            </w:r>
          </w:p>
        </w:tc>
        <w:tc>
          <w:tcPr>
            <w:tcW w:w="2550" w:type="dxa"/>
            <w:tcBorders>
              <w:top w:val="single" w:sz="8" w:space="0" w:color="auto"/>
              <w:left w:val="nil"/>
              <w:bottom w:val="single" w:sz="8" w:space="0" w:color="auto"/>
              <w:right w:val="single" w:sz="8" w:space="0" w:color="auto"/>
            </w:tcBorders>
            <w:shd w:val="clear" w:color="000000" w:fill="FFFFFF"/>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b/>
                <w:bCs/>
                <w:color w:val="auto"/>
                <w:kern w:val="0"/>
                <w:sz w:val="21"/>
                <w:highlight w:val="none"/>
              </w:rPr>
            </w:pPr>
            <w:r>
              <w:rPr>
                <w:rFonts w:ascii="Times New Roman" w:eastAsia="宋体" w:hAnsi="Times New Roman" w:cs="宋体" w:hint="eastAsia"/>
                <w:b/>
                <w:bCs/>
                <w:color w:val="auto"/>
                <w:kern w:val="0"/>
                <w:sz w:val="21"/>
                <w:highlight w:val="none"/>
              </w:rPr>
              <w:t>中期</w:t>
            </w:r>
          </w:p>
        </w:tc>
        <w:tc>
          <w:tcPr>
            <w:tcW w:w="2125" w:type="dxa"/>
            <w:tcBorders>
              <w:top w:val="single" w:sz="8" w:space="0" w:color="auto"/>
              <w:left w:val="nil"/>
              <w:bottom w:val="single" w:sz="8" w:space="0" w:color="auto"/>
              <w:right w:val="single" w:sz="8" w:space="0" w:color="auto"/>
            </w:tcBorders>
            <w:shd w:val="clear" w:color="000000" w:fill="FFFFFF"/>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b/>
                <w:bCs/>
                <w:color w:val="auto"/>
                <w:kern w:val="0"/>
                <w:sz w:val="21"/>
                <w:highlight w:val="none"/>
              </w:rPr>
            </w:pPr>
            <w:r>
              <w:rPr>
                <w:rFonts w:ascii="Times New Roman" w:eastAsia="宋体" w:hAnsi="Times New Roman" w:cs="宋体" w:hint="eastAsia"/>
                <w:b/>
                <w:bCs/>
                <w:color w:val="auto"/>
                <w:kern w:val="0"/>
                <w:sz w:val="21"/>
                <w:highlight w:val="none"/>
              </w:rPr>
              <w:t>远期</w:t>
            </w:r>
          </w:p>
        </w:tc>
      </w:tr>
      <w:tr>
        <w:tblPrEx>
          <w:tblW w:w="8500" w:type="dxa"/>
          <w:jc w:val="center"/>
          <w:tblLayout w:type="fixed"/>
          <w:tblCellMar>
            <w:top w:w="0" w:type="dxa"/>
            <w:left w:w="108" w:type="dxa"/>
            <w:bottom w:w="0" w:type="dxa"/>
            <w:right w:w="108" w:type="dxa"/>
          </w:tblCellMar>
        </w:tblPrEx>
        <w:trPr>
          <w:trHeight w:val="550"/>
          <w:jc w:val="center"/>
        </w:trPr>
        <w:tc>
          <w:tcPr>
            <w:tcW w:w="1740" w:type="dxa"/>
            <w:tcBorders>
              <w:top w:val="nil"/>
              <w:left w:val="single" w:sz="8" w:space="0" w:color="auto"/>
              <w:bottom w:val="single" w:sz="8" w:space="0" w:color="auto"/>
              <w:right w:val="single" w:sz="8" w:space="0" w:color="auto"/>
            </w:tcBorders>
            <w:shd w:val="clear" w:color="000000" w:fill="FFFFFF"/>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b w:val="0"/>
                <w:bCs w:val="0"/>
                <w:color w:val="auto"/>
                <w:kern w:val="0"/>
                <w:sz w:val="21"/>
                <w:highlight w:val="none"/>
              </w:rPr>
            </w:pPr>
            <w:r>
              <w:rPr>
                <w:rFonts w:ascii="Times New Roman" w:eastAsia="宋体" w:hAnsi="Times New Roman" w:cs="宋体" w:hint="eastAsia"/>
                <w:b w:val="0"/>
                <w:bCs w:val="0"/>
                <w:color w:val="auto"/>
                <w:kern w:val="0"/>
                <w:sz w:val="21"/>
                <w:highlight w:val="none"/>
              </w:rPr>
              <w:t>宏站投资（万元）</w:t>
            </w:r>
          </w:p>
        </w:tc>
        <w:tc>
          <w:tcPr>
            <w:tcW w:w="2085" w:type="dxa"/>
            <w:tcBorders>
              <w:top w:val="nil"/>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b w:val="0"/>
                <w:bCs w:val="0"/>
                <w:color w:val="auto"/>
                <w:kern w:val="0"/>
                <w:sz w:val="21"/>
                <w:szCs w:val="24"/>
                <w:highlight w:val="none"/>
              </w:rPr>
            </w:pPr>
            <w:r>
              <w:rPr>
                <w:rFonts w:ascii="Times New Roman" w:eastAsia="宋体" w:hAnsi="Times New Roman" w:cs="宋体" w:hint="eastAsia"/>
                <w:b w:val="0"/>
                <w:bCs w:val="0"/>
                <w:color w:val="auto"/>
                <w:kern w:val="0"/>
                <w:sz w:val="21"/>
                <w:szCs w:val="24"/>
                <w:highlight w:val="none"/>
              </w:rPr>
              <w:t>90866.42</w:t>
            </w:r>
          </w:p>
        </w:tc>
        <w:tc>
          <w:tcPr>
            <w:tcW w:w="2550" w:type="dxa"/>
            <w:tcBorders>
              <w:top w:val="nil"/>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b w:val="0"/>
                <w:bCs w:val="0"/>
                <w:color w:val="auto"/>
                <w:kern w:val="0"/>
                <w:sz w:val="21"/>
                <w:szCs w:val="24"/>
                <w:highlight w:val="none"/>
              </w:rPr>
            </w:pPr>
            <w:r>
              <w:rPr>
                <w:rFonts w:ascii="Times New Roman" w:eastAsia="宋体" w:hAnsi="Times New Roman" w:cs="宋体" w:hint="eastAsia"/>
                <w:b w:val="0"/>
                <w:bCs w:val="0"/>
                <w:color w:val="auto"/>
                <w:kern w:val="0"/>
                <w:sz w:val="21"/>
                <w:szCs w:val="24"/>
                <w:highlight w:val="none"/>
              </w:rPr>
              <w:t>158022.62</w:t>
            </w:r>
          </w:p>
        </w:tc>
        <w:tc>
          <w:tcPr>
            <w:tcW w:w="2125" w:type="dxa"/>
            <w:tcBorders>
              <w:top w:val="nil"/>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b w:val="0"/>
                <w:bCs w:val="0"/>
                <w:color w:val="auto"/>
                <w:kern w:val="0"/>
                <w:sz w:val="21"/>
                <w:szCs w:val="24"/>
                <w:highlight w:val="none"/>
              </w:rPr>
            </w:pPr>
            <w:r>
              <w:rPr>
                <w:rFonts w:ascii="Times New Roman" w:eastAsia="宋体" w:hAnsi="Times New Roman" w:cs="宋体" w:hint="eastAsia"/>
                <w:b w:val="0"/>
                <w:bCs w:val="0"/>
                <w:color w:val="auto"/>
                <w:kern w:val="0"/>
                <w:sz w:val="21"/>
                <w:szCs w:val="24"/>
                <w:highlight w:val="none"/>
              </w:rPr>
              <w:t>109716.7</w:t>
            </w:r>
            <w:r>
              <w:rPr>
                <w:rFonts w:ascii="Times New Roman" w:eastAsia="宋体" w:hAnsi="Times New Roman" w:cs="宋体" w:hint="eastAsia"/>
                <w:b w:val="0"/>
                <w:bCs w:val="0"/>
                <w:color w:val="auto"/>
                <w:kern w:val="0"/>
                <w:sz w:val="21"/>
                <w:szCs w:val="24"/>
                <w:highlight w:val="none"/>
                <w:lang w:val="en-US" w:eastAsia="zh-CN"/>
              </w:rPr>
              <w:t>0</w:t>
            </w:r>
          </w:p>
        </w:tc>
      </w:tr>
      <w:tr>
        <w:tblPrEx>
          <w:tblW w:w="8500" w:type="dxa"/>
          <w:jc w:val="center"/>
          <w:tblLayout w:type="fixed"/>
          <w:tblCellMar>
            <w:top w:w="0" w:type="dxa"/>
            <w:left w:w="108" w:type="dxa"/>
            <w:bottom w:w="0" w:type="dxa"/>
            <w:right w:w="108" w:type="dxa"/>
          </w:tblCellMar>
        </w:tblPrEx>
        <w:trPr>
          <w:trHeight w:val="550"/>
          <w:jc w:val="center"/>
        </w:trPr>
        <w:tc>
          <w:tcPr>
            <w:tcW w:w="1740" w:type="dxa"/>
            <w:tcBorders>
              <w:top w:val="nil"/>
              <w:left w:val="single" w:sz="8" w:space="0" w:color="auto"/>
              <w:bottom w:val="single" w:sz="8" w:space="0" w:color="auto"/>
              <w:right w:val="single" w:sz="8" w:space="0" w:color="auto"/>
            </w:tcBorders>
            <w:shd w:val="clear" w:color="000000" w:fill="FFFFFF"/>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b w:val="0"/>
                <w:bCs w:val="0"/>
                <w:color w:val="auto"/>
                <w:kern w:val="0"/>
                <w:sz w:val="21"/>
                <w:highlight w:val="none"/>
              </w:rPr>
            </w:pPr>
            <w:r>
              <w:rPr>
                <w:rFonts w:ascii="Times New Roman" w:eastAsia="宋体" w:hAnsi="Times New Roman" w:cs="宋体" w:hint="eastAsia"/>
                <w:b w:val="0"/>
                <w:bCs w:val="0"/>
                <w:color w:val="auto"/>
                <w:kern w:val="0"/>
                <w:sz w:val="21"/>
                <w:highlight w:val="none"/>
              </w:rPr>
              <w:t>室内分布投资（万元）</w:t>
            </w:r>
          </w:p>
        </w:tc>
        <w:tc>
          <w:tcPr>
            <w:tcW w:w="2085" w:type="dxa"/>
            <w:tcBorders>
              <w:top w:val="nil"/>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b w:val="0"/>
                <w:bCs w:val="0"/>
                <w:color w:val="auto"/>
                <w:kern w:val="0"/>
                <w:sz w:val="21"/>
                <w:szCs w:val="22"/>
                <w:highlight w:val="none"/>
              </w:rPr>
            </w:pPr>
            <w:r>
              <w:rPr>
                <w:rFonts w:ascii="Times New Roman" w:eastAsia="宋体" w:hAnsi="Times New Roman" w:cs="宋体" w:hint="eastAsia"/>
                <w:b w:val="0"/>
                <w:bCs w:val="0"/>
                <w:color w:val="auto"/>
                <w:kern w:val="0"/>
                <w:sz w:val="21"/>
                <w:szCs w:val="22"/>
                <w:highlight w:val="none"/>
              </w:rPr>
              <w:t>38985.24</w:t>
            </w:r>
          </w:p>
        </w:tc>
        <w:tc>
          <w:tcPr>
            <w:tcW w:w="2550" w:type="dxa"/>
            <w:tcBorders>
              <w:top w:val="nil"/>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b w:val="0"/>
                <w:bCs w:val="0"/>
                <w:color w:val="auto"/>
                <w:kern w:val="0"/>
                <w:sz w:val="21"/>
                <w:szCs w:val="24"/>
                <w:highlight w:val="none"/>
              </w:rPr>
            </w:pPr>
            <w:r>
              <w:rPr>
                <w:rFonts w:ascii="Times New Roman" w:eastAsia="宋体" w:hAnsi="Times New Roman" w:cs="宋体" w:hint="eastAsia"/>
                <w:b w:val="0"/>
                <w:bCs w:val="0"/>
                <w:color w:val="auto"/>
                <w:kern w:val="0"/>
                <w:sz w:val="21"/>
                <w:szCs w:val="24"/>
                <w:highlight w:val="none"/>
              </w:rPr>
              <w:t>37547.07</w:t>
            </w:r>
          </w:p>
        </w:tc>
        <w:tc>
          <w:tcPr>
            <w:tcW w:w="2125" w:type="dxa"/>
            <w:tcBorders>
              <w:top w:val="nil"/>
              <w:left w:val="nil"/>
              <w:bottom w:val="single" w:sz="8" w:space="0" w:color="auto"/>
              <w:right w:val="single" w:sz="8" w:space="0" w:color="auto"/>
            </w:tcBorders>
            <w:shd w:val="clear" w:color="auto" w:fill="auto"/>
            <w:noWrap/>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b w:val="0"/>
                <w:bCs w:val="0"/>
                <w:color w:val="auto"/>
                <w:kern w:val="0"/>
                <w:sz w:val="21"/>
                <w:szCs w:val="24"/>
                <w:highlight w:val="none"/>
              </w:rPr>
            </w:pPr>
            <w:r>
              <w:rPr>
                <w:rFonts w:ascii="Times New Roman" w:eastAsia="宋体" w:hAnsi="Times New Roman" w:cs="宋体" w:hint="eastAsia"/>
                <w:b w:val="0"/>
                <w:bCs w:val="0"/>
                <w:color w:val="auto"/>
                <w:kern w:val="0"/>
                <w:sz w:val="21"/>
                <w:szCs w:val="24"/>
                <w:highlight w:val="none"/>
              </w:rPr>
              <w:t>47135.77</w:t>
            </w:r>
          </w:p>
        </w:tc>
      </w:tr>
      <w:tr>
        <w:tblPrEx>
          <w:tblW w:w="8500" w:type="dxa"/>
          <w:jc w:val="center"/>
          <w:tblLayout w:type="fixed"/>
          <w:tblCellMar>
            <w:top w:w="0" w:type="dxa"/>
            <w:left w:w="108" w:type="dxa"/>
            <w:bottom w:w="0" w:type="dxa"/>
            <w:right w:w="108" w:type="dxa"/>
          </w:tblCellMar>
        </w:tblPrEx>
        <w:trPr>
          <w:trHeight w:val="320"/>
          <w:jc w:val="center"/>
        </w:trPr>
        <w:tc>
          <w:tcPr>
            <w:tcW w:w="1740" w:type="dxa"/>
            <w:vMerge w:val="restart"/>
            <w:tcBorders>
              <w:top w:val="nil"/>
              <w:left w:val="single" w:sz="8" w:space="0" w:color="auto"/>
              <w:bottom w:val="single" w:sz="8" w:space="0" w:color="auto"/>
              <w:right w:val="single" w:sz="8" w:space="0" w:color="auto"/>
            </w:tcBorders>
            <w:shd w:val="clear" w:color="000000" w:fill="FFFFFF"/>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b w:val="0"/>
                <w:bCs w:val="0"/>
                <w:color w:val="auto"/>
                <w:kern w:val="0"/>
                <w:sz w:val="21"/>
                <w:highlight w:val="none"/>
              </w:rPr>
            </w:pPr>
            <w:r>
              <w:rPr>
                <w:rFonts w:ascii="Times New Roman" w:eastAsia="宋体" w:hAnsi="Times New Roman" w:cs="宋体" w:hint="eastAsia"/>
                <w:b w:val="0"/>
                <w:bCs w:val="0"/>
                <w:color w:val="auto"/>
                <w:kern w:val="0"/>
                <w:sz w:val="21"/>
                <w:highlight w:val="none"/>
              </w:rPr>
              <w:t>传输资源投资（万元）</w:t>
            </w:r>
          </w:p>
        </w:tc>
        <w:tc>
          <w:tcPr>
            <w:tcW w:w="6760" w:type="dxa"/>
            <w:gridSpan w:val="3"/>
            <w:vMerge w:val="restart"/>
            <w:tcBorders>
              <w:top w:val="single" w:sz="8" w:space="0" w:color="auto"/>
              <w:left w:val="single" w:sz="8" w:space="0" w:color="auto"/>
              <w:bottom w:val="single" w:sz="8" w:space="0" w:color="auto"/>
              <w:right w:val="single" w:sz="8" w:space="0" w:color="auto"/>
            </w:tcBorders>
            <w:shd w:val="clear" w:color="000000" w:fill="FFFFFF"/>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b w:val="0"/>
                <w:bCs w:val="0"/>
                <w:color w:val="auto"/>
                <w:kern w:val="0"/>
                <w:sz w:val="21"/>
                <w:highlight w:val="none"/>
              </w:rPr>
            </w:pPr>
            <w:r>
              <w:rPr>
                <w:rFonts w:ascii="Times New Roman" w:eastAsia="宋体" w:hAnsi="Times New Roman" w:cs="宋体" w:hint="eastAsia"/>
                <w:b w:val="0"/>
                <w:bCs w:val="0"/>
                <w:color w:val="auto"/>
                <w:kern w:val="0"/>
                <w:sz w:val="21"/>
                <w:highlight w:val="none"/>
              </w:rPr>
              <w:t>111839.2</w:t>
            </w:r>
          </w:p>
        </w:tc>
      </w:tr>
      <w:tr>
        <w:tblPrEx>
          <w:tblW w:w="8500" w:type="dxa"/>
          <w:jc w:val="center"/>
          <w:tblLayout w:type="fixed"/>
          <w:tblCellMar>
            <w:top w:w="0" w:type="dxa"/>
            <w:left w:w="108" w:type="dxa"/>
            <w:bottom w:w="0" w:type="dxa"/>
            <w:right w:w="108" w:type="dxa"/>
          </w:tblCellMar>
        </w:tblPrEx>
        <w:trPr>
          <w:trHeight w:val="312"/>
          <w:jc w:val="center"/>
        </w:trPr>
        <w:tc>
          <w:tcPr>
            <w:tcW w:w="1740" w:type="dxa"/>
            <w:vMerge/>
            <w:tcBorders>
              <w:top w:val="nil"/>
              <w:left w:val="single" w:sz="8" w:space="0" w:color="auto"/>
              <w:bottom w:val="single" w:sz="8" w:space="0" w:color="auto"/>
              <w:right w:val="single" w:sz="8" w:space="0" w:color="auto"/>
            </w:tcBorders>
            <w:vAlign w:val="center"/>
          </w:tcPr>
          <w:p>
            <w:pPr>
              <w:widowControl/>
              <w:spacing w:before="0" w:beforeAutospacing="0" w:after="0" w:afterAutospacing="0" w:line="240" w:lineRule="auto"/>
              <w:ind w:left="0" w:firstLine="0" w:firstLineChars="0"/>
              <w:jc w:val="center"/>
              <w:rPr>
                <w:rFonts w:ascii="Times New Roman" w:eastAsia="宋体" w:hAnsi="Times New Roman" w:cs="宋体"/>
                <w:b w:val="0"/>
                <w:bCs w:val="0"/>
                <w:color w:val="auto"/>
                <w:kern w:val="0"/>
                <w:sz w:val="21"/>
                <w:highlight w:val="none"/>
              </w:rPr>
            </w:pPr>
          </w:p>
        </w:tc>
        <w:tc>
          <w:tcPr>
            <w:tcW w:w="6760" w:type="dxa"/>
            <w:gridSpan w:val="3"/>
            <w:vMerge/>
            <w:tcBorders>
              <w:top w:val="single" w:sz="8" w:space="0" w:color="auto"/>
              <w:left w:val="single" w:sz="8" w:space="0" w:color="auto"/>
              <w:bottom w:val="single" w:sz="8" w:space="0" w:color="auto"/>
              <w:right w:val="single" w:sz="8" w:space="0" w:color="auto"/>
            </w:tcBorders>
            <w:vAlign w:val="center"/>
          </w:tcPr>
          <w:p>
            <w:pPr>
              <w:widowControl/>
              <w:spacing w:before="0" w:beforeAutospacing="0" w:after="0" w:afterAutospacing="0" w:line="240" w:lineRule="auto"/>
              <w:ind w:left="0" w:firstLine="0" w:firstLineChars="0"/>
              <w:jc w:val="center"/>
              <w:rPr>
                <w:rFonts w:ascii="Times New Roman" w:eastAsia="宋体" w:hAnsi="Times New Roman" w:cs="宋体"/>
                <w:b w:val="0"/>
                <w:bCs w:val="0"/>
                <w:color w:val="auto"/>
                <w:kern w:val="0"/>
                <w:sz w:val="21"/>
                <w:highlight w:val="none"/>
              </w:rPr>
            </w:pPr>
          </w:p>
        </w:tc>
      </w:tr>
      <w:tr>
        <w:tblPrEx>
          <w:tblW w:w="8500" w:type="dxa"/>
          <w:jc w:val="center"/>
          <w:tblLayout w:type="fixed"/>
          <w:tblCellMar>
            <w:top w:w="0" w:type="dxa"/>
            <w:left w:w="108" w:type="dxa"/>
            <w:bottom w:w="0" w:type="dxa"/>
            <w:right w:w="108" w:type="dxa"/>
          </w:tblCellMar>
        </w:tblPrEx>
        <w:trPr>
          <w:trHeight w:val="290"/>
          <w:jc w:val="center"/>
        </w:trPr>
        <w:tc>
          <w:tcPr>
            <w:tcW w:w="1740" w:type="dxa"/>
            <w:tcBorders>
              <w:top w:val="nil"/>
              <w:left w:val="single" w:sz="8" w:space="0" w:color="auto"/>
              <w:bottom w:val="single" w:sz="8" w:space="0" w:color="auto"/>
              <w:right w:val="single" w:sz="8" w:space="0" w:color="auto"/>
            </w:tcBorders>
            <w:shd w:val="clear" w:color="000000" w:fill="FFFFFF"/>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b w:val="0"/>
                <w:bCs w:val="0"/>
                <w:color w:val="auto"/>
                <w:kern w:val="0"/>
                <w:sz w:val="21"/>
                <w:highlight w:val="none"/>
              </w:rPr>
            </w:pPr>
          </w:p>
        </w:tc>
        <w:tc>
          <w:tcPr>
            <w:tcW w:w="6760" w:type="dxa"/>
            <w:gridSpan w:val="3"/>
            <w:tcBorders>
              <w:top w:val="single" w:sz="8" w:space="0" w:color="auto"/>
              <w:left w:val="nil"/>
              <w:bottom w:val="single" w:sz="8" w:space="0" w:color="auto"/>
              <w:right w:val="single" w:sz="8" w:space="0" w:color="auto"/>
            </w:tcBorders>
            <w:shd w:val="clear" w:color="000000" w:fill="FFFFFF"/>
            <w:vAlign w:val="center"/>
          </w:tcPr>
          <w:p>
            <w:pPr>
              <w:widowControl/>
              <w:spacing w:before="0" w:beforeAutospacing="0" w:after="0" w:afterAutospacing="0" w:line="240" w:lineRule="auto"/>
              <w:ind w:left="0" w:firstLine="0" w:leftChars="0" w:firstLineChars="0"/>
              <w:jc w:val="center"/>
              <w:rPr>
                <w:rFonts w:ascii="Times New Roman" w:eastAsia="宋体" w:hAnsi="Times New Roman" w:cs="宋体"/>
                <w:b w:val="0"/>
                <w:bCs w:val="0"/>
                <w:color w:val="auto"/>
                <w:kern w:val="0"/>
                <w:sz w:val="21"/>
                <w:highlight w:val="none"/>
              </w:rPr>
            </w:pPr>
            <w:r>
              <w:rPr>
                <w:rFonts w:ascii="Times New Roman" w:eastAsia="宋体" w:hAnsi="Times New Roman" w:cs="宋体" w:hint="eastAsia"/>
                <w:b w:val="0"/>
                <w:bCs w:val="0"/>
                <w:color w:val="auto"/>
                <w:kern w:val="0"/>
                <w:sz w:val="21"/>
                <w:highlight w:val="none"/>
              </w:rPr>
              <w:t>594113.02</w:t>
            </w:r>
          </w:p>
        </w:tc>
      </w:tr>
    </w:tbl>
    <w:p>
      <w:pPr>
        <w:pStyle w:val="NormalIndent"/>
        <w:ind w:left="0" w:firstLine="0" w:firstLineChars="0"/>
        <w:rPr>
          <w:color w:val="auto"/>
          <w:highlight w:val="none"/>
        </w:rPr>
      </w:pPr>
    </w:p>
    <w:p>
      <w:pPr>
        <w:pStyle w:val="NormalIndent"/>
        <w:rPr>
          <w:color w:val="auto"/>
          <w:highlight w:val="none"/>
        </w:rPr>
      </w:pPr>
    </w:p>
    <w:p>
      <w:pPr>
        <w:spacing w:line="240" w:lineRule="auto"/>
        <w:ind w:left="0" w:firstLine="420"/>
        <w:rPr>
          <w:rFonts w:ascii="Times New Roman" w:eastAsia="宋体" w:hAnsi="Times New Roman"/>
          <w:color w:val="auto"/>
          <w:highlight w:val="none"/>
        </w:rPr>
      </w:pPr>
    </w:p>
    <w:p>
      <w:pPr>
        <w:widowControl/>
        <w:spacing w:line="240" w:lineRule="auto"/>
        <w:ind w:left="0" w:firstLine="0" w:firstLineChars="0"/>
        <w:jc w:val="left"/>
        <w:rPr>
          <w:rFonts w:ascii="Times New Roman" w:eastAsia="宋体" w:hAnsi="Times New Roman"/>
          <w:b/>
          <w:color w:val="auto"/>
          <w:sz w:val="32"/>
          <w:szCs w:val="32"/>
          <w:highlight w:val="none"/>
        </w:rPr>
      </w:pPr>
      <w:bookmarkEnd w:id="70"/>
      <w:bookmarkEnd w:id="71"/>
      <w:r>
        <w:rPr>
          <w:rFonts w:ascii="Times New Roman" w:eastAsia="宋体" w:hAnsi="Times New Roman"/>
          <w:color w:val="auto"/>
          <w:sz w:val="32"/>
          <w:szCs w:val="32"/>
          <w:highlight w:val="none"/>
        </w:rPr>
        <w:br w:type="page"/>
      </w:r>
    </w:p>
    <w:p>
      <w:pPr>
        <w:pStyle w:val="Heading2"/>
        <w:spacing w:before="260" w:after="260" w:line="240" w:lineRule="auto"/>
        <w:ind w:left="0" w:firstLine="643"/>
        <w:rPr>
          <w:rFonts w:ascii="Times New Roman" w:eastAsia="宋体" w:hAnsi="Times New Roman"/>
          <w:color w:val="auto"/>
          <w:sz w:val="32"/>
          <w:szCs w:val="32"/>
          <w:highlight w:val="none"/>
        </w:rPr>
      </w:pPr>
      <w:bookmarkStart w:id="77" w:name="_Toc13629"/>
      <w:r>
        <w:rPr>
          <w:rFonts w:ascii="Times New Roman" w:eastAsia="宋体" w:hAnsi="Times New Roman" w:hint="eastAsia"/>
          <w:color w:val="auto"/>
          <w:sz w:val="32"/>
          <w:szCs w:val="32"/>
          <w:highlight w:val="none"/>
        </w:rPr>
        <w:t>第十</w:t>
      </w:r>
      <w:r>
        <w:rPr>
          <w:rFonts w:ascii="Times New Roman" w:eastAsia="宋体" w:hAnsi="Times New Roman" w:hint="eastAsia"/>
          <w:color w:val="auto"/>
          <w:sz w:val="32"/>
          <w:szCs w:val="32"/>
          <w:highlight w:val="none"/>
          <w:lang w:val="en-US" w:eastAsia="zh-CN"/>
        </w:rPr>
        <w:t>四</w:t>
      </w:r>
      <w:r>
        <w:rPr>
          <w:rFonts w:ascii="Times New Roman" w:eastAsia="宋体" w:hAnsi="Times New Roman" w:hint="eastAsia"/>
          <w:color w:val="auto"/>
          <w:sz w:val="32"/>
          <w:szCs w:val="32"/>
          <w:highlight w:val="none"/>
        </w:rPr>
        <w:t>章 环境保护规划</w:t>
      </w:r>
      <w:bookmarkEnd w:id="77"/>
    </w:p>
    <w:p>
      <w:pPr>
        <w:pStyle w:val="Heading3"/>
        <w:spacing w:line="240" w:lineRule="auto"/>
        <w:ind w:left="0" w:firstLine="482"/>
        <w:rPr>
          <w:rFonts w:ascii="Times New Roman" w:eastAsia="宋体" w:hAnsi="Times New Roman" w:cstheme="majorEastAsia"/>
          <w:color w:val="auto"/>
          <w:sz w:val="24"/>
          <w:szCs w:val="24"/>
          <w:highlight w:val="none"/>
        </w:rPr>
      </w:pPr>
      <w:bookmarkStart w:id="78" w:name="_Toc32197"/>
      <w:bookmarkStart w:id="79" w:name="_Toc448064633"/>
      <w:r>
        <w:rPr>
          <w:rFonts w:ascii="Times New Roman" w:eastAsia="宋体" w:hAnsi="Times New Roman" w:cstheme="majorEastAsia" w:hint="eastAsia"/>
          <w:color w:val="auto"/>
          <w:sz w:val="24"/>
          <w:szCs w:val="24"/>
          <w:highlight w:val="none"/>
        </w:rPr>
        <w:t>一、环境保护规划依据</w:t>
      </w:r>
      <w:bookmarkEnd w:id="78"/>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通信设备对环境可能产生的污染一是电磁污染，二是蓄电池酸污染。由于本工程采用阀控式密封铅酸电池，不会漏酸，蓄电池在充放电时无酸雾溢出，对环境无污染。至于电磁污染则要求在工程设计中选用符合国家环保局发布的GB8702-2014规定要求。</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根据中华人民共和国国家标准《电磁环境控制限值》GB8702－2014，环境中电场、磁场、电磁场场量参数的方均根值应满足下表所示：</w:t>
      </w:r>
    </w:p>
    <w:p>
      <w:pPr>
        <w:widowControl/>
        <w:spacing w:line="240" w:lineRule="auto"/>
        <w:ind w:left="0" w:firstLine="0" w:firstLineChars="0"/>
        <w:jc w:val="center"/>
        <w:rPr>
          <w:rFonts w:ascii="Times New Roman" w:eastAsia="宋体" w:hAnsi="Times New Roman"/>
          <w:b/>
          <w:bCs/>
          <w:color w:val="auto"/>
          <w:szCs w:val="21"/>
          <w:highlight w:val="none"/>
        </w:rPr>
      </w:pPr>
      <w:r>
        <w:rPr>
          <w:rFonts w:ascii="Times New Roman" w:eastAsia="宋体" w:hAnsi="Times New Roman" w:hint="eastAsia"/>
          <w:b/>
          <w:bCs/>
          <w:color w:val="auto"/>
          <w:szCs w:val="21"/>
          <w:highlight w:val="none"/>
        </w:rPr>
        <w:t>表1</w:t>
      </w:r>
      <w:r>
        <w:rPr>
          <w:rFonts w:ascii="Times New Roman" w:eastAsia="宋体" w:hAnsi="Times New Roman" w:hint="eastAsia"/>
          <w:b/>
          <w:bCs/>
          <w:color w:val="auto"/>
          <w:szCs w:val="21"/>
          <w:highlight w:val="none"/>
          <w:lang w:val="en-US" w:eastAsia="zh-CN"/>
        </w:rPr>
        <w:t>4</w:t>
      </w:r>
      <w:r>
        <w:rPr>
          <w:rFonts w:ascii="Times New Roman" w:eastAsia="宋体" w:hAnsi="Times New Roman" w:hint="eastAsia"/>
          <w:b/>
          <w:bCs/>
          <w:color w:val="auto"/>
          <w:szCs w:val="21"/>
          <w:highlight w:val="none"/>
        </w:rPr>
        <w:t>-1  公众曝露控制限值</w:t>
      </w:r>
    </w:p>
    <w:tbl>
      <w:tblPr>
        <w:tblStyle w:val="TableGrid"/>
        <w:tblW w:w="0" w:type="auto"/>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2316"/>
        <w:gridCol w:w="1710"/>
        <w:gridCol w:w="1717"/>
        <w:gridCol w:w="1940"/>
        <w:gridCol w:w="2115"/>
      </w:tblGrid>
      <w:tr>
        <w:tblPrEx>
          <w:tblW w:w="0" w:type="auto"/>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2376" w:type="dxa"/>
            <w:vAlign w:val="center"/>
          </w:tcPr>
          <w:p>
            <w:pPr>
              <w:widowControl/>
              <w:spacing w:line="360" w:lineRule="auto"/>
              <w:ind w:left="0" w:firstLine="0" w:firstLineChars="0"/>
              <w:jc w:val="center"/>
              <w:rPr>
                <w:rFonts w:ascii="Times New Roman" w:eastAsia="宋体" w:hAnsi="Times New Roman"/>
                <w:b/>
                <w:bCs/>
                <w:color w:val="auto"/>
                <w:szCs w:val="21"/>
                <w:highlight w:val="none"/>
              </w:rPr>
            </w:pPr>
            <w:r>
              <w:rPr>
                <w:rFonts w:ascii="Times New Roman" w:eastAsia="宋体" w:hAnsi="Times New Roman" w:hint="eastAsia"/>
                <w:b/>
                <w:bCs/>
                <w:color w:val="auto"/>
                <w:szCs w:val="21"/>
                <w:highlight w:val="none"/>
              </w:rPr>
              <w:t>频率范围</w:t>
            </w:r>
          </w:p>
        </w:tc>
        <w:tc>
          <w:tcPr>
            <w:tcW w:w="1771" w:type="dxa"/>
            <w:vAlign w:val="center"/>
          </w:tcPr>
          <w:p>
            <w:pPr>
              <w:widowControl/>
              <w:spacing w:line="360" w:lineRule="auto"/>
              <w:ind w:left="0" w:firstLine="0" w:firstLineChars="0"/>
              <w:jc w:val="center"/>
              <w:rPr>
                <w:rFonts w:ascii="Times New Roman" w:eastAsia="宋体" w:hAnsi="Times New Roman"/>
                <w:b/>
                <w:bCs/>
                <w:color w:val="auto"/>
                <w:szCs w:val="21"/>
                <w:highlight w:val="none"/>
              </w:rPr>
            </w:pPr>
            <w:r>
              <w:rPr>
                <w:rFonts w:ascii="Times New Roman" w:eastAsia="宋体" w:hAnsi="Times New Roman" w:hint="eastAsia"/>
                <w:b/>
                <w:bCs/>
                <w:color w:val="auto"/>
                <w:szCs w:val="21"/>
                <w:highlight w:val="none"/>
              </w:rPr>
              <w:t>电场强度E</w:t>
            </w:r>
          </w:p>
          <w:p>
            <w:pPr>
              <w:widowControl/>
              <w:spacing w:line="360" w:lineRule="auto"/>
              <w:ind w:left="0" w:firstLine="0" w:firstLineChars="0"/>
              <w:jc w:val="center"/>
              <w:rPr>
                <w:rFonts w:ascii="Times New Roman" w:eastAsia="宋体" w:hAnsi="Times New Roman"/>
                <w:b/>
                <w:bCs/>
                <w:color w:val="auto"/>
                <w:szCs w:val="21"/>
                <w:highlight w:val="none"/>
              </w:rPr>
            </w:pPr>
            <w:r>
              <w:rPr>
                <w:rFonts w:ascii="Times New Roman" w:eastAsia="宋体" w:hAnsi="Times New Roman" w:hint="eastAsia"/>
                <w:b/>
                <w:bCs/>
                <w:color w:val="auto"/>
                <w:szCs w:val="21"/>
                <w:highlight w:val="none"/>
              </w:rPr>
              <w:t>（V/m）</w:t>
            </w:r>
          </w:p>
        </w:tc>
        <w:tc>
          <w:tcPr>
            <w:tcW w:w="1775" w:type="dxa"/>
            <w:vAlign w:val="center"/>
          </w:tcPr>
          <w:p>
            <w:pPr>
              <w:widowControl/>
              <w:spacing w:line="360" w:lineRule="auto"/>
              <w:ind w:left="0" w:firstLine="0" w:firstLineChars="0"/>
              <w:jc w:val="center"/>
              <w:rPr>
                <w:rFonts w:ascii="Times New Roman" w:eastAsia="宋体" w:hAnsi="Times New Roman"/>
                <w:b/>
                <w:bCs/>
                <w:color w:val="auto"/>
                <w:szCs w:val="21"/>
                <w:highlight w:val="none"/>
              </w:rPr>
            </w:pPr>
            <w:r>
              <w:rPr>
                <w:rFonts w:ascii="Times New Roman" w:eastAsia="宋体" w:hAnsi="Times New Roman" w:hint="eastAsia"/>
                <w:b/>
                <w:bCs/>
                <w:color w:val="auto"/>
                <w:szCs w:val="21"/>
                <w:highlight w:val="none"/>
              </w:rPr>
              <w:t>磁场强度H</w:t>
            </w:r>
          </w:p>
          <w:p>
            <w:pPr>
              <w:widowControl/>
              <w:spacing w:line="360" w:lineRule="auto"/>
              <w:ind w:left="0" w:firstLine="0" w:firstLineChars="0"/>
              <w:jc w:val="center"/>
              <w:rPr>
                <w:rFonts w:ascii="Times New Roman" w:eastAsia="宋体" w:hAnsi="Times New Roman"/>
                <w:b/>
                <w:bCs/>
                <w:color w:val="auto"/>
                <w:szCs w:val="21"/>
                <w:highlight w:val="none"/>
              </w:rPr>
            </w:pPr>
            <w:r>
              <w:rPr>
                <w:rFonts w:ascii="Times New Roman" w:eastAsia="宋体" w:hAnsi="Times New Roman" w:hint="eastAsia"/>
                <w:b/>
                <w:bCs/>
                <w:color w:val="auto"/>
                <w:szCs w:val="21"/>
                <w:highlight w:val="none"/>
              </w:rPr>
              <w:t>（A/m）</w:t>
            </w:r>
          </w:p>
        </w:tc>
        <w:tc>
          <w:tcPr>
            <w:tcW w:w="2010" w:type="dxa"/>
            <w:vAlign w:val="center"/>
          </w:tcPr>
          <w:p>
            <w:pPr>
              <w:widowControl/>
              <w:spacing w:line="360" w:lineRule="auto"/>
              <w:ind w:left="0" w:firstLine="0" w:firstLineChars="0"/>
              <w:jc w:val="center"/>
              <w:rPr>
                <w:rFonts w:ascii="Times New Roman" w:eastAsia="宋体" w:hAnsi="Times New Roman"/>
                <w:b/>
                <w:bCs/>
                <w:color w:val="auto"/>
                <w:szCs w:val="21"/>
                <w:highlight w:val="none"/>
              </w:rPr>
            </w:pPr>
            <w:r>
              <w:rPr>
                <w:rFonts w:ascii="Times New Roman" w:eastAsia="宋体" w:hAnsi="Times New Roman" w:hint="eastAsia"/>
                <w:b/>
                <w:bCs/>
                <w:color w:val="auto"/>
                <w:szCs w:val="21"/>
                <w:highlight w:val="none"/>
              </w:rPr>
              <w:t>磁感应强度B</w:t>
            </w:r>
          </w:p>
          <w:p>
            <w:pPr>
              <w:widowControl/>
              <w:spacing w:line="360" w:lineRule="auto"/>
              <w:ind w:left="0" w:firstLine="0" w:firstLineChars="0"/>
              <w:jc w:val="center"/>
              <w:rPr>
                <w:rFonts w:ascii="Times New Roman" w:eastAsia="宋体" w:hAnsi="Times New Roman"/>
                <w:b/>
                <w:bCs/>
                <w:color w:val="auto"/>
                <w:szCs w:val="21"/>
                <w:highlight w:val="none"/>
              </w:rPr>
            </w:pPr>
            <w:r>
              <w:rPr>
                <w:rFonts w:ascii="Times New Roman" w:eastAsia="宋体" w:hAnsi="Times New Roman" w:hint="eastAsia"/>
                <w:b/>
                <w:bCs/>
                <w:color w:val="auto"/>
                <w:szCs w:val="21"/>
                <w:highlight w:val="none"/>
              </w:rPr>
              <w:t>（μT）</w:t>
            </w:r>
          </w:p>
        </w:tc>
        <w:tc>
          <w:tcPr>
            <w:tcW w:w="2194" w:type="dxa"/>
            <w:vAlign w:val="center"/>
          </w:tcPr>
          <w:p>
            <w:pPr>
              <w:widowControl/>
              <w:spacing w:line="360" w:lineRule="auto"/>
              <w:ind w:left="0" w:firstLine="0" w:firstLineChars="0"/>
              <w:jc w:val="center"/>
              <w:rPr>
                <w:rFonts w:ascii="Times New Roman" w:eastAsia="宋体" w:hAnsi="Times New Roman"/>
                <w:b/>
                <w:bCs/>
                <w:color w:val="auto"/>
                <w:szCs w:val="21"/>
                <w:highlight w:val="none"/>
              </w:rPr>
            </w:pPr>
            <w:r>
              <w:rPr>
                <w:rFonts w:ascii="Times New Roman" w:eastAsia="宋体" w:hAnsi="Times New Roman" w:hint="eastAsia"/>
                <w:b/>
                <w:bCs/>
                <w:color w:val="auto"/>
                <w:szCs w:val="21"/>
                <w:highlight w:val="none"/>
              </w:rPr>
              <w:t>等效平面波功率密度S</w:t>
            </w:r>
            <w:r>
              <w:rPr>
                <w:rFonts w:ascii="Times New Roman" w:eastAsia="宋体" w:hAnsi="Times New Roman" w:hint="eastAsia"/>
                <w:b/>
                <w:bCs/>
                <w:color w:val="auto"/>
                <w:szCs w:val="21"/>
                <w:highlight w:val="none"/>
                <w:vertAlign w:val="subscript"/>
              </w:rPr>
              <w:t>eq</w:t>
            </w:r>
            <w:r>
              <w:rPr>
                <w:rFonts w:ascii="Times New Roman" w:eastAsia="宋体" w:hAnsi="Times New Roman" w:hint="eastAsia"/>
                <w:b/>
                <w:bCs/>
                <w:color w:val="auto"/>
                <w:szCs w:val="21"/>
                <w:highlight w:val="none"/>
              </w:rPr>
              <w:t>（W/m</w:t>
            </w:r>
            <w:r>
              <w:rPr>
                <w:rFonts w:ascii="Times New Roman" w:eastAsia="宋体" w:hAnsi="Times New Roman" w:hint="eastAsia"/>
                <w:b/>
                <w:bCs/>
                <w:color w:val="auto"/>
                <w:szCs w:val="21"/>
                <w:highlight w:val="none"/>
                <w:vertAlign w:val="superscript"/>
              </w:rPr>
              <w:t>2</w:t>
            </w:r>
            <w:r>
              <w:rPr>
                <w:rFonts w:ascii="Times New Roman" w:eastAsia="宋体" w:hAnsi="Times New Roman" w:hint="eastAsia"/>
                <w:b/>
                <w:bCs/>
                <w:color w:val="auto"/>
                <w:szCs w:val="21"/>
                <w:highlight w:val="none"/>
              </w:rPr>
              <w:t>）</w:t>
            </w:r>
          </w:p>
        </w:tc>
      </w:tr>
      <w:tr>
        <w:tblPrEx>
          <w:tblW w:w="0" w:type="auto"/>
          <w:tblInd w:w="344" w:type="dxa"/>
          <w:tblCellMar>
            <w:top w:w="0" w:type="dxa"/>
            <w:left w:w="108" w:type="dxa"/>
            <w:bottom w:w="0" w:type="dxa"/>
            <w:right w:w="108" w:type="dxa"/>
          </w:tblCellMar>
        </w:tblPrEx>
        <w:tc>
          <w:tcPr>
            <w:tcW w:w="2376"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1Hz~8Hz</w:t>
            </w:r>
          </w:p>
        </w:tc>
        <w:tc>
          <w:tcPr>
            <w:tcW w:w="1771"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8000</w:t>
            </w:r>
          </w:p>
        </w:tc>
        <w:tc>
          <w:tcPr>
            <w:tcW w:w="1775"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32000/</w:t>
            </w:r>
            <w:r>
              <w:rPr>
                <w:rFonts w:ascii="Times New Roman" w:eastAsia="宋体" w:hAnsi="Times New Roman" w:cs="华光行草_CNKI" w:hint="eastAsia"/>
                <w:color w:val="auto"/>
                <w:szCs w:val="21"/>
                <w:highlight w:val="none"/>
              </w:rPr>
              <w:t>f</w:t>
            </w:r>
            <w:r>
              <w:rPr>
                <w:rFonts w:ascii="Times New Roman" w:eastAsia="宋体" w:hAnsi="Times New Roman" w:hint="eastAsia"/>
                <w:color w:val="auto"/>
                <w:szCs w:val="21"/>
                <w:highlight w:val="none"/>
                <w:vertAlign w:val="superscript"/>
              </w:rPr>
              <w:t>2</w:t>
            </w:r>
          </w:p>
        </w:tc>
        <w:tc>
          <w:tcPr>
            <w:tcW w:w="2010"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40000/</w:t>
            </w:r>
            <w:r>
              <w:rPr>
                <w:rFonts w:ascii="Times New Roman" w:eastAsia="宋体" w:hAnsi="Times New Roman" w:cs="华光行草_CNKI" w:hint="eastAsia"/>
                <w:color w:val="auto"/>
                <w:szCs w:val="21"/>
                <w:highlight w:val="none"/>
              </w:rPr>
              <w:t>f</w:t>
            </w:r>
            <w:r>
              <w:rPr>
                <w:rFonts w:ascii="Times New Roman" w:eastAsia="宋体" w:hAnsi="Times New Roman" w:hint="eastAsia"/>
                <w:color w:val="auto"/>
                <w:szCs w:val="21"/>
                <w:highlight w:val="none"/>
                <w:vertAlign w:val="superscript"/>
              </w:rPr>
              <w:t>2</w:t>
            </w:r>
          </w:p>
        </w:tc>
        <w:tc>
          <w:tcPr>
            <w:tcW w:w="2194"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w:t>
            </w:r>
          </w:p>
        </w:tc>
      </w:tr>
      <w:tr>
        <w:tblPrEx>
          <w:tblW w:w="0" w:type="auto"/>
          <w:tblInd w:w="344" w:type="dxa"/>
          <w:tblCellMar>
            <w:top w:w="0" w:type="dxa"/>
            <w:left w:w="108" w:type="dxa"/>
            <w:bottom w:w="0" w:type="dxa"/>
            <w:right w:w="108" w:type="dxa"/>
          </w:tblCellMar>
        </w:tblPrEx>
        <w:tc>
          <w:tcPr>
            <w:tcW w:w="2376"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8Hz~25Hz</w:t>
            </w:r>
          </w:p>
        </w:tc>
        <w:tc>
          <w:tcPr>
            <w:tcW w:w="1771"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8000</w:t>
            </w:r>
          </w:p>
        </w:tc>
        <w:tc>
          <w:tcPr>
            <w:tcW w:w="1775"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4000/</w:t>
            </w:r>
            <w:r>
              <w:rPr>
                <w:rFonts w:ascii="Times New Roman" w:eastAsia="宋体" w:hAnsi="Times New Roman" w:cs="华光行草_CNKI" w:hint="eastAsia"/>
                <w:color w:val="auto"/>
                <w:szCs w:val="21"/>
                <w:highlight w:val="none"/>
              </w:rPr>
              <w:t>f</w:t>
            </w:r>
          </w:p>
        </w:tc>
        <w:tc>
          <w:tcPr>
            <w:tcW w:w="2010"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5000/</w:t>
            </w:r>
            <w:r>
              <w:rPr>
                <w:rFonts w:ascii="Times New Roman" w:eastAsia="宋体" w:hAnsi="Times New Roman" w:cs="华光行草_CNKI" w:hint="eastAsia"/>
                <w:color w:val="auto"/>
                <w:szCs w:val="21"/>
                <w:highlight w:val="none"/>
              </w:rPr>
              <w:t>f</w:t>
            </w:r>
          </w:p>
        </w:tc>
        <w:tc>
          <w:tcPr>
            <w:tcW w:w="2194"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w:t>
            </w:r>
          </w:p>
        </w:tc>
      </w:tr>
      <w:tr>
        <w:tblPrEx>
          <w:tblW w:w="0" w:type="auto"/>
          <w:tblInd w:w="344" w:type="dxa"/>
          <w:tblCellMar>
            <w:top w:w="0" w:type="dxa"/>
            <w:left w:w="108" w:type="dxa"/>
            <w:bottom w:w="0" w:type="dxa"/>
            <w:right w:w="108" w:type="dxa"/>
          </w:tblCellMar>
        </w:tblPrEx>
        <w:tc>
          <w:tcPr>
            <w:tcW w:w="2376"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0.025kHz~1.2kHz</w:t>
            </w:r>
          </w:p>
        </w:tc>
        <w:tc>
          <w:tcPr>
            <w:tcW w:w="1771"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200/</w:t>
            </w:r>
            <w:r>
              <w:rPr>
                <w:rFonts w:ascii="Times New Roman" w:eastAsia="宋体" w:hAnsi="Times New Roman" w:cs="华光行草_CNKI" w:hint="eastAsia"/>
                <w:color w:val="auto"/>
                <w:szCs w:val="21"/>
                <w:highlight w:val="none"/>
              </w:rPr>
              <w:t>f</w:t>
            </w:r>
          </w:p>
        </w:tc>
        <w:tc>
          <w:tcPr>
            <w:tcW w:w="1775"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4/</w:t>
            </w:r>
            <w:r>
              <w:rPr>
                <w:rFonts w:ascii="Times New Roman" w:eastAsia="宋体" w:hAnsi="Times New Roman" w:cs="华光行草_CNKI" w:hint="eastAsia"/>
                <w:color w:val="auto"/>
                <w:szCs w:val="21"/>
                <w:highlight w:val="none"/>
              </w:rPr>
              <w:t>f</w:t>
            </w:r>
          </w:p>
        </w:tc>
        <w:tc>
          <w:tcPr>
            <w:tcW w:w="2010"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5/</w:t>
            </w:r>
            <w:r>
              <w:rPr>
                <w:rFonts w:ascii="Times New Roman" w:eastAsia="宋体" w:hAnsi="Times New Roman" w:cs="华光行草_CNKI" w:hint="eastAsia"/>
                <w:color w:val="auto"/>
                <w:szCs w:val="21"/>
                <w:highlight w:val="none"/>
              </w:rPr>
              <w:t>f</w:t>
            </w:r>
          </w:p>
        </w:tc>
        <w:tc>
          <w:tcPr>
            <w:tcW w:w="2194"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w:t>
            </w:r>
          </w:p>
        </w:tc>
      </w:tr>
      <w:tr>
        <w:tblPrEx>
          <w:tblW w:w="0" w:type="auto"/>
          <w:tblInd w:w="344" w:type="dxa"/>
          <w:tblCellMar>
            <w:top w:w="0" w:type="dxa"/>
            <w:left w:w="108" w:type="dxa"/>
            <w:bottom w:w="0" w:type="dxa"/>
            <w:right w:w="108" w:type="dxa"/>
          </w:tblCellMar>
        </w:tblPrEx>
        <w:tc>
          <w:tcPr>
            <w:tcW w:w="2376"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1.2kHz~2.9kHz</w:t>
            </w:r>
          </w:p>
        </w:tc>
        <w:tc>
          <w:tcPr>
            <w:tcW w:w="1771"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200/</w:t>
            </w:r>
            <w:r>
              <w:rPr>
                <w:rFonts w:ascii="Times New Roman" w:eastAsia="宋体" w:hAnsi="Times New Roman" w:cs="华光行草_CNKI" w:hint="eastAsia"/>
                <w:color w:val="auto"/>
                <w:szCs w:val="21"/>
                <w:highlight w:val="none"/>
              </w:rPr>
              <w:t>f</w:t>
            </w:r>
          </w:p>
        </w:tc>
        <w:tc>
          <w:tcPr>
            <w:tcW w:w="1775"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3.3</w:t>
            </w:r>
          </w:p>
        </w:tc>
        <w:tc>
          <w:tcPr>
            <w:tcW w:w="2010"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4.1</w:t>
            </w:r>
          </w:p>
        </w:tc>
        <w:tc>
          <w:tcPr>
            <w:tcW w:w="2194"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w:t>
            </w:r>
          </w:p>
        </w:tc>
      </w:tr>
      <w:tr>
        <w:tblPrEx>
          <w:tblW w:w="0" w:type="auto"/>
          <w:tblInd w:w="344" w:type="dxa"/>
          <w:tblCellMar>
            <w:top w:w="0" w:type="dxa"/>
            <w:left w:w="108" w:type="dxa"/>
            <w:bottom w:w="0" w:type="dxa"/>
            <w:right w:w="108" w:type="dxa"/>
          </w:tblCellMar>
        </w:tblPrEx>
        <w:tc>
          <w:tcPr>
            <w:tcW w:w="2376"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2.9kHz~57kHz</w:t>
            </w:r>
          </w:p>
        </w:tc>
        <w:tc>
          <w:tcPr>
            <w:tcW w:w="1771"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70</w:t>
            </w:r>
          </w:p>
        </w:tc>
        <w:tc>
          <w:tcPr>
            <w:tcW w:w="1775"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10/</w:t>
            </w:r>
            <w:r>
              <w:rPr>
                <w:rFonts w:ascii="Times New Roman" w:eastAsia="宋体" w:hAnsi="Times New Roman" w:cs="华光行草_CNKI" w:hint="eastAsia"/>
                <w:color w:val="auto"/>
                <w:szCs w:val="21"/>
                <w:highlight w:val="none"/>
              </w:rPr>
              <w:t>f</w:t>
            </w:r>
          </w:p>
        </w:tc>
        <w:tc>
          <w:tcPr>
            <w:tcW w:w="2010"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12/</w:t>
            </w:r>
            <w:r>
              <w:rPr>
                <w:rFonts w:ascii="Times New Roman" w:eastAsia="宋体" w:hAnsi="Times New Roman" w:cs="华光行草_CNKI" w:hint="eastAsia"/>
                <w:color w:val="auto"/>
                <w:szCs w:val="21"/>
                <w:highlight w:val="none"/>
              </w:rPr>
              <w:t>f</w:t>
            </w:r>
          </w:p>
        </w:tc>
        <w:tc>
          <w:tcPr>
            <w:tcW w:w="2194"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w:t>
            </w:r>
          </w:p>
        </w:tc>
      </w:tr>
      <w:tr>
        <w:tblPrEx>
          <w:tblW w:w="0" w:type="auto"/>
          <w:tblInd w:w="344" w:type="dxa"/>
          <w:tblCellMar>
            <w:top w:w="0" w:type="dxa"/>
            <w:left w:w="108" w:type="dxa"/>
            <w:bottom w:w="0" w:type="dxa"/>
            <w:right w:w="108" w:type="dxa"/>
          </w:tblCellMar>
        </w:tblPrEx>
        <w:tc>
          <w:tcPr>
            <w:tcW w:w="2376"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57kHz~100kHz</w:t>
            </w:r>
          </w:p>
        </w:tc>
        <w:tc>
          <w:tcPr>
            <w:tcW w:w="1771"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4000/</w:t>
            </w:r>
            <w:r>
              <w:rPr>
                <w:rFonts w:ascii="Times New Roman" w:eastAsia="宋体" w:hAnsi="Times New Roman" w:cs="华光行草_CNKI" w:hint="eastAsia"/>
                <w:color w:val="auto"/>
                <w:szCs w:val="21"/>
                <w:highlight w:val="none"/>
              </w:rPr>
              <w:t>f</w:t>
            </w:r>
          </w:p>
        </w:tc>
        <w:tc>
          <w:tcPr>
            <w:tcW w:w="1775"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10/</w:t>
            </w:r>
            <w:r>
              <w:rPr>
                <w:rFonts w:ascii="Times New Roman" w:eastAsia="宋体" w:hAnsi="Times New Roman" w:cs="华光行草_CNKI" w:hint="eastAsia"/>
                <w:color w:val="auto"/>
                <w:szCs w:val="21"/>
                <w:highlight w:val="none"/>
              </w:rPr>
              <w:t>f</w:t>
            </w:r>
          </w:p>
        </w:tc>
        <w:tc>
          <w:tcPr>
            <w:tcW w:w="2010"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12/</w:t>
            </w:r>
            <w:r>
              <w:rPr>
                <w:rFonts w:ascii="Times New Roman" w:eastAsia="宋体" w:hAnsi="Times New Roman" w:cs="华光行草_CNKI" w:hint="eastAsia"/>
                <w:color w:val="auto"/>
                <w:szCs w:val="21"/>
                <w:highlight w:val="none"/>
              </w:rPr>
              <w:t>f</w:t>
            </w:r>
          </w:p>
        </w:tc>
        <w:tc>
          <w:tcPr>
            <w:tcW w:w="2194"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w:t>
            </w:r>
          </w:p>
        </w:tc>
      </w:tr>
      <w:tr>
        <w:tblPrEx>
          <w:tblW w:w="0" w:type="auto"/>
          <w:tblInd w:w="344" w:type="dxa"/>
          <w:tblCellMar>
            <w:top w:w="0" w:type="dxa"/>
            <w:left w:w="108" w:type="dxa"/>
            <w:bottom w:w="0" w:type="dxa"/>
            <w:right w:w="108" w:type="dxa"/>
          </w:tblCellMar>
        </w:tblPrEx>
        <w:tc>
          <w:tcPr>
            <w:tcW w:w="2376"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0.1MHz~3MHz</w:t>
            </w:r>
          </w:p>
        </w:tc>
        <w:tc>
          <w:tcPr>
            <w:tcW w:w="1771"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40</w:t>
            </w:r>
          </w:p>
        </w:tc>
        <w:tc>
          <w:tcPr>
            <w:tcW w:w="1775"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0.1</w:t>
            </w:r>
          </w:p>
        </w:tc>
        <w:tc>
          <w:tcPr>
            <w:tcW w:w="2010"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0.12</w:t>
            </w:r>
          </w:p>
        </w:tc>
        <w:tc>
          <w:tcPr>
            <w:tcW w:w="2194"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4</w:t>
            </w:r>
          </w:p>
        </w:tc>
      </w:tr>
      <w:tr>
        <w:tblPrEx>
          <w:tblW w:w="0" w:type="auto"/>
          <w:tblInd w:w="344" w:type="dxa"/>
          <w:tblCellMar>
            <w:top w:w="0" w:type="dxa"/>
            <w:left w:w="108" w:type="dxa"/>
            <w:bottom w:w="0" w:type="dxa"/>
            <w:right w:w="108" w:type="dxa"/>
          </w:tblCellMar>
        </w:tblPrEx>
        <w:tc>
          <w:tcPr>
            <w:tcW w:w="2376"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3MHz~30MHz</w:t>
            </w:r>
          </w:p>
        </w:tc>
        <w:tc>
          <w:tcPr>
            <w:tcW w:w="1771"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600/</w:t>
            </w:r>
            <w:r>
              <w:rPr>
                <w:rFonts w:ascii="Times New Roman" w:eastAsia="宋体" w:hAnsi="Times New Roman" w:cs="华光行草_CNKI" w:hint="eastAsia"/>
                <w:color w:val="auto"/>
                <w:szCs w:val="21"/>
                <w:highlight w:val="none"/>
              </w:rPr>
              <w:t>f</w:t>
            </w:r>
            <w:r>
              <w:rPr>
                <w:rFonts w:ascii="Times New Roman" w:eastAsia="宋体" w:hAnsi="Times New Roman" w:cs="华光行草_CNKI" w:hint="eastAsia"/>
                <w:color w:val="auto"/>
                <w:szCs w:val="21"/>
                <w:highlight w:val="none"/>
                <w:vertAlign w:val="superscript"/>
              </w:rPr>
              <w:t>1/2</w:t>
            </w:r>
          </w:p>
        </w:tc>
        <w:tc>
          <w:tcPr>
            <w:tcW w:w="1775"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0.17/</w:t>
            </w:r>
            <w:r>
              <w:rPr>
                <w:rFonts w:ascii="Times New Roman" w:eastAsia="宋体" w:hAnsi="Times New Roman" w:cs="华光行草_CNKI" w:hint="eastAsia"/>
                <w:color w:val="auto"/>
                <w:szCs w:val="21"/>
                <w:highlight w:val="none"/>
              </w:rPr>
              <w:t>f</w:t>
            </w:r>
            <w:r>
              <w:rPr>
                <w:rFonts w:ascii="Times New Roman" w:eastAsia="宋体" w:hAnsi="Times New Roman" w:cs="华光行草_CNKI" w:hint="eastAsia"/>
                <w:color w:val="auto"/>
                <w:szCs w:val="21"/>
                <w:highlight w:val="none"/>
                <w:vertAlign w:val="superscript"/>
              </w:rPr>
              <w:t>1/2</w:t>
            </w:r>
          </w:p>
        </w:tc>
        <w:tc>
          <w:tcPr>
            <w:tcW w:w="2010"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0.21/</w:t>
            </w:r>
            <w:r>
              <w:rPr>
                <w:rFonts w:ascii="Times New Roman" w:eastAsia="宋体" w:hAnsi="Times New Roman" w:cs="华光行草_CNKI" w:hint="eastAsia"/>
                <w:color w:val="auto"/>
                <w:szCs w:val="21"/>
                <w:highlight w:val="none"/>
              </w:rPr>
              <w:t>f</w:t>
            </w:r>
            <w:r>
              <w:rPr>
                <w:rFonts w:ascii="Times New Roman" w:eastAsia="宋体" w:hAnsi="Times New Roman" w:cs="华光行草_CNKI" w:hint="eastAsia"/>
                <w:color w:val="auto"/>
                <w:szCs w:val="21"/>
                <w:highlight w:val="none"/>
                <w:vertAlign w:val="superscript"/>
              </w:rPr>
              <w:t>1/2</w:t>
            </w:r>
          </w:p>
        </w:tc>
        <w:tc>
          <w:tcPr>
            <w:tcW w:w="2194"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12/</w:t>
            </w:r>
            <w:r>
              <w:rPr>
                <w:rFonts w:ascii="Times New Roman" w:eastAsia="宋体" w:hAnsi="Times New Roman" w:cs="华光行草_CNKI" w:hint="eastAsia"/>
                <w:color w:val="auto"/>
                <w:szCs w:val="21"/>
                <w:highlight w:val="none"/>
              </w:rPr>
              <w:t>f</w:t>
            </w:r>
          </w:p>
        </w:tc>
      </w:tr>
      <w:tr>
        <w:tblPrEx>
          <w:tblW w:w="0" w:type="auto"/>
          <w:tblInd w:w="344" w:type="dxa"/>
          <w:tblCellMar>
            <w:top w:w="0" w:type="dxa"/>
            <w:left w:w="108" w:type="dxa"/>
            <w:bottom w:w="0" w:type="dxa"/>
            <w:right w:w="108" w:type="dxa"/>
          </w:tblCellMar>
        </w:tblPrEx>
        <w:tc>
          <w:tcPr>
            <w:tcW w:w="2376"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30MHz~3000MHz</w:t>
            </w:r>
          </w:p>
        </w:tc>
        <w:tc>
          <w:tcPr>
            <w:tcW w:w="1771"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12</w:t>
            </w:r>
          </w:p>
        </w:tc>
        <w:tc>
          <w:tcPr>
            <w:tcW w:w="1775"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0.032</w:t>
            </w:r>
          </w:p>
        </w:tc>
        <w:tc>
          <w:tcPr>
            <w:tcW w:w="2010"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0.04</w:t>
            </w:r>
          </w:p>
        </w:tc>
        <w:tc>
          <w:tcPr>
            <w:tcW w:w="2194"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0.4</w:t>
            </w:r>
          </w:p>
        </w:tc>
      </w:tr>
      <w:tr>
        <w:tblPrEx>
          <w:tblW w:w="0" w:type="auto"/>
          <w:tblInd w:w="344" w:type="dxa"/>
          <w:tblCellMar>
            <w:top w:w="0" w:type="dxa"/>
            <w:left w:w="108" w:type="dxa"/>
            <w:bottom w:w="0" w:type="dxa"/>
            <w:right w:w="108" w:type="dxa"/>
          </w:tblCellMar>
        </w:tblPrEx>
        <w:tc>
          <w:tcPr>
            <w:tcW w:w="2376"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3000MHz~15000MHz</w:t>
            </w:r>
          </w:p>
        </w:tc>
        <w:tc>
          <w:tcPr>
            <w:tcW w:w="1771"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0.22</w:t>
            </w:r>
            <w:r>
              <w:rPr>
                <w:rFonts w:ascii="Times New Roman" w:eastAsia="宋体" w:hAnsi="Times New Roman" w:cs="华光行草_CNKI" w:hint="eastAsia"/>
                <w:color w:val="auto"/>
                <w:szCs w:val="21"/>
                <w:highlight w:val="none"/>
              </w:rPr>
              <w:t>f</w:t>
            </w:r>
            <w:r>
              <w:rPr>
                <w:rFonts w:ascii="Times New Roman" w:eastAsia="宋体" w:hAnsi="Times New Roman" w:cs="华光行草_CNKI" w:hint="eastAsia"/>
                <w:color w:val="auto"/>
                <w:szCs w:val="21"/>
                <w:highlight w:val="none"/>
                <w:vertAlign w:val="superscript"/>
              </w:rPr>
              <w:t>1/2</w:t>
            </w:r>
          </w:p>
        </w:tc>
        <w:tc>
          <w:tcPr>
            <w:tcW w:w="1775"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0.00059</w:t>
            </w:r>
            <w:r>
              <w:rPr>
                <w:rFonts w:ascii="Times New Roman" w:eastAsia="宋体" w:hAnsi="Times New Roman" w:cs="华光行草_CNKI" w:hint="eastAsia"/>
                <w:color w:val="auto"/>
                <w:szCs w:val="21"/>
                <w:highlight w:val="none"/>
              </w:rPr>
              <w:t>f</w:t>
            </w:r>
            <w:r>
              <w:rPr>
                <w:rFonts w:ascii="Times New Roman" w:eastAsia="宋体" w:hAnsi="Times New Roman" w:cs="华光行草_CNKI" w:hint="eastAsia"/>
                <w:color w:val="auto"/>
                <w:szCs w:val="21"/>
                <w:highlight w:val="none"/>
                <w:vertAlign w:val="superscript"/>
              </w:rPr>
              <w:t>1/2</w:t>
            </w:r>
          </w:p>
        </w:tc>
        <w:tc>
          <w:tcPr>
            <w:tcW w:w="2010"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0.00074</w:t>
            </w:r>
            <w:r>
              <w:rPr>
                <w:rFonts w:ascii="Times New Roman" w:eastAsia="宋体" w:hAnsi="Times New Roman" w:cs="华光行草_CNKI" w:hint="eastAsia"/>
                <w:color w:val="auto"/>
                <w:szCs w:val="21"/>
                <w:highlight w:val="none"/>
              </w:rPr>
              <w:t>f</w:t>
            </w:r>
            <w:r>
              <w:rPr>
                <w:rFonts w:ascii="Times New Roman" w:eastAsia="宋体" w:hAnsi="Times New Roman" w:cs="华光行草_CNKI" w:hint="eastAsia"/>
                <w:color w:val="auto"/>
                <w:szCs w:val="21"/>
                <w:highlight w:val="none"/>
                <w:vertAlign w:val="superscript"/>
              </w:rPr>
              <w:t>1/2</w:t>
            </w:r>
          </w:p>
        </w:tc>
        <w:tc>
          <w:tcPr>
            <w:tcW w:w="2194"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cs="华光行草_CNKI" w:hint="eastAsia"/>
                <w:color w:val="auto"/>
                <w:szCs w:val="21"/>
                <w:highlight w:val="none"/>
              </w:rPr>
              <w:t>f</w:t>
            </w:r>
            <w:r>
              <w:rPr>
                <w:rFonts w:ascii="Times New Roman" w:eastAsia="宋体" w:hAnsi="Times New Roman" w:cs="Times New Roman"/>
                <w:color w:val="auto"/>
                <w:szCs w:val="21"/>
                <w:highlight w:val="none"/>
              </w:rPr>
              <w:t>/7500</w:t>
            </w:r>
          </w:p>
        </w:tc>
      </w:tr>
      <w:tr>
        <w:tblPrEx>
          <w:tblW w:w="0" w:type="auto"/>
          <w:tblInd w:w="344" w:type="dxa"/>
          <w:tblCellMar>
            <w:top w:w="0" w:type="dxa"/>
            <w:left w:w="108" w:type="dxa"/>
            <w:bottom w:w="0" w:type="dxa"/>
            <w:right w:w="108" w:type="dxa"/>
          </w:tblCellMar>
        </w:tblPrEx>
        <w:tc>
          <w:tcPr>
            <w:tcW w:w="2376"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15GHz~300GHz</w:t>
            </w:r>
          </w:p>
        </w:tc>
        <w:tc>
          <w:tcPr>
            <w:tcW w:w="1771"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27</w:t>
            </w:r>
          </w:p>
        </w:tc>
        <w:tc>
          <w:tcPr>
            <w:tcW w:w="1775"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0.073</w:t>
            </w:r>
          </w:p>
        </w:tc>
        <w:tc>
          <w:tcPr>
            <w:tcW w:w="2010"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0.092</w:t>
            </w:r>
          </w:p>
        </w:tc>
        <w:tc>
          <w:tcPr>
            <w:tcW w:w="2194" w:type="dxa"/>
            <w:vAlign w:val="center"/>
          </w:tcPr>
          <w:p>
            <w:pPr>
              <w:widowControl/>
              <w:spacing w:line="360" w:lineRule="auto"/>
              <w:ind w:left="0" w:firstLine="0" w:firstLineChars="0"/>
              <w:jc w:val="center"/>
              <w:rPr>
                <w:rFonts w:ascii="Times New Roman" w:eastAsia="宋体" w:hAnsi="Times New Roman"/>
                <w:color w:val="auto"/>
                <w:szCs w:val="21"/>
                <w:highlight w:val="none"/>
              </w:rPr>
            </w:pPr>
            <w:r>
              <w:rPr>
                <w:rFonts w:ascii="Times New Roman" w:eastAsia="宋体" w:hAnsi="Times New Roman" w:hint="eastAsia"/>
                <w:color w:val="auto"/>
                <w:szCs w:val="21"/>
                <w:highlight w:val="none"/>
              </w:rPr>
              <w:t>2</w:t>
            </w:r>
          </w:p>
        </w:tc>
      </w:tr>
      <w:tr>
        <w:tblPrEx>
          <w:tblW w:w="0" w:type="auto"/>
          <w:tblInd w:w="344" w:type="dxa"/>
          <w:tblCellMar>
            <w:top w:w="0" w:type="dxa"/>
            <w:left w:w="108" w:type="dxa"/>
            <w:bottom w:w="0" w:type="dxa"/>
            <w:right w:w="108" w:type="dxa"/>
          </w:tblCellMar>
        </w:tblPrEx>
        <w:tc>
          <w:tcPr>
            <w:tcW w:w="10126" w:type="dxa"/>
            <w:gridSpan w:val="5"/>
          </w:tcPr>
          <w:p>
            <w:pPr>
              <w:widowControl/>
              <w:spacing w:line="360" w:lineRule="auto"/>
              <w:ind w:left="0" w:firstLine="0" w:firstLineChars="0"/>
              <w:rPr>
                <w:rFonts w:ascii="Times New Roman" w:eastAsia="宋体" w:hAnsi="Times New Roman"/>
                <w:color w:val="auto"/>
                <w:szCs w:val="21"/>
                <w:highlight w:val="none"/>
              </w:rPr>
            </w:pPr>
            <w:r>
              <w:rPr>
                <w:rFonts w:ascii="Times New Roman" w:eastAsia="宋体" w:hAnsi="Times New Roman" w:hint="eastAsia"/>
                <w:color w:val="auto"/>
                <w:szCs w:val="21"/>
                <w:highlight w:val="none"/>
              </w:rPr>
              <w:t>注1：频率</w:t>
            </w:r>
            <w:r>
              <w:rPr>
                <w:rFonts w:ascii="Times New Roman" w:eastAsia="宋体" w:hAnsi="Times New Roman" w:cs="华光行草_CNKI" w:hint="eastAsia"/>
                <w:color w:val="auto"/>
                <w:szCs w:val="21"/>
                <w:highlight w:val="none"/>
              </w:rPr>
              <w:t>f</w:t>
            </w:r>
            <w:r>
              <w:rPr>
                <w:rFonts w:ascii="Times New Roman" w:eastAsia="宋体" w:hAnsi="Times New Roman" w:hint="eastAsia"/>
                <w:color w:val="auto"/>
                <w:szCs w:val="21"/>
                <w:highlight w:val="none"/>
              </w:rPr>
              <w:t>的单位为所在行中第一栏的单位。电场强度限值与频率变化关系见《电磁环境控制限值》GB8702－2014图1，磁感应强度限值与频率变化关系见《电磁环境控制限值》GB8702－2014图2。</w:t>
            </w:r>
          </w:p>
          <w:p>
            <w:pPr>
              <w:widowControl/>
              <w:spacing w:line="360" w:lineRule="auto"/>
              <w:ind w:left="0" w:firstLine="0" w:firstLineChars="0"/>
              <w:rPr>
                <w:rFonts w:ascii="Times New Roman" w:eastAsia="宋体" w:hAnsi="Times New Roman"/>
                <w:color w:val="auto"/>
                <w:szCs w:val="21"/>
                <w:highlight w:val="none"/>
              </w:rPr>
            </w:pPr>
            <w:r>
              <w:rPr>
                <w:rFonts w:ascii="Times New Roman" w:eastAsia="宋体" w:hAnsi="Times New Roman" w:hint="eastAsia"/>
                <w:color w:val="auto"/>
                <w:szCs w:val="21"/>
                <w:highlight w:val="none"/>
              </w:rPr>
              <w:t>注2：0.1MHz~300GHz频率，场量参数是任意连续6分钟内的方均根值。</w:t>
            </w:r>
          </w:p>
          <w:p>
            <w:pPr>
              <w:widowControl/>
              <w:spacing w:line="360" w:lineRule="auto"/>
              <w:ind w:left="0" w:firstLine="0" w:firstLineChars="0"/>
              <w:rPr>
                <w:rFonts w:ascii="Times New Roman" w:eastAsia="宋体" w:hAnsi="Times New Roman"/>
                <w:color w:val="auto"/>
                <w:szCs w:val="21"/>
                <w:highlight w:val="none"/>
              </w:rPr>
            </w:pPr>
            <w:r>
              <w:rPr>
                <w:rFonts w:ascii="Times New Roman" w:eastAsia="宋体" w:hAnsi="Times New Roman" w:hint="eastAsia"/>
                <w:color w:val="auto"/>
                <w:szCs w:val="21"/>
                <w:highlight w:val="none"/>
              </w:rPr>
              <w:t>注3：100kHz以下频率，需同时限制电场强度和磁场强度；100kHz以上频率，在远场区，可以只限制电场强度或磁场强度，或等效平面波功率密度，在近场区，需同时限制电场强度和磁场强度。</w:t>
            </w:r>
          </w:p>
          <w:p>
            <w:pPr>
              <w:widowControl/>
              <w:spacing w:line="360" w:lineRule="auto"/>
              <w:ind w:left="0" w:firstLine="0" w:firstLineChars="0"/>
              <w:rPr>
                <w:rFonts w:ascii="Times New Roman" w:eastAsia="宋体" w:hAnsi="Times New Roman"/>
                <w:color w:val="auto"/>
                <w:szCs w:val="21"/>
                <w:highlight w:val="none"/>
              </w:rPr>
            </w:pPr>
            <w:r>
              <w:rPr>
                <w:rFonts w:ascii="Times New Roman" w:eastAsia="宋体" w:hAnsi="Times New Roman" w:hint="eastAsia"/>
                <w:color w:val="auto"/>
                <w:szCs w:val="21"/>
                <w:highlight w:val="none"/>
              </w:rPr>
              <w:t>注4：架空输电线路线下的耕地、园地、牧草地、畜禽饲养地、养殖水面、道路等场所，其频率50Hz的电场强度控制限值为10kV/m，且应给出警示和防护指示标志。</w:t>
            </w:r>
          </w:p>
        </w:tc>
      </w:tr>
    </w:tbl>
    <w:p>
      <w:pPr>
        <w:widowControl/>
        <w:spacing w:line="240" w:lineRule="auto"/>
        <w:ind w:left="0" w:firstLine="0" w:firstLineChars="0"/>
        <w:jc w:val="center"/>
        <w:rPr>
          <w:rFonts w:ascii="Times New Roman" w:eastAsia="宋体" w:hAnsi="Times New Roman"/>
          <w:color w:val="auto"/>
          <w:sz w:val="24"/>
          <w:highlight w:val="none"/>
        </w:rPr>
      </w:pP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对于脉冲电磁波，除满足上述要求外，其功率密度的瞬时峰值不得超过上表中所列限值的1000倍，或场强的瞬时峰值不得超过上表中所列限值的32倍。</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对电磁辐射源可以免于管理的要求为：</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（1）100kV以下电压等级的交流输变电设施。</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（2）向没有屏蔽空间发射0.1～3MHz电磁场的，其等效辐射功率小于300W的设施（设备）；向没有屏蔽空间发射3～300000MHz电磁场的，其等效辐射功率小于100W的设施（设备）。</w:t>
      </w: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rPr>
        <w:t>本期工程各基站电磁辐射满足公众照射防护要求或满足电磁辐射源的豁免权要求</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lang w:val="en-US" w:eastAsia="zh-CN"/>
        </w:rPr>
        <w:t>如下图检测报告所示</w:t>
      </w:r>
      <w:r>
        <w:rPr>
          <w:rFonts w:ascii="Times New Roman" w:eastAsia="宋体" w:hAnsi="Times New Roman" w:hint="eastAsia"/>
          <w:color w:val="auto"/>
          <w:sz w:val="24"/>
          <w:highlight w:val="none"/>
        </w:rPr>
        <w:t>。</w:t>
      </w:r>
    </w:p>
    <w:p>
      <w:pPr>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r>
        <w:rPr>
          <w:color w:val="auto"/>
          <w:highlight w:val="none"/>
        </w:rPr>
        <w:drawing>
          <wp:inline distT="0" distB="0" distL="114300" distR="114300">
            <wp:extent cx="5791200" cy="8010525"/>
            <wp:effectExtent l="0" t="0" r="0" b="9525"/>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xmlns:r="http://schemas.openxmlformats.org/officeDocument/2006/relationships" r:embed="rId47"/>
                    <a:stretch>
                      <a:fillRect/>
                    </a:stretch>
                  </pic:blipFill>
                  <pic:spPr>
                    <a:xfrm>
                      <a:off x="0" y="0"/>
                      <a:ext cx="5791200" cy="801052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rFonts w:ascii="Times New Roman" w:eastAsia="宋体" w:hAnsi="Times New Roman" w:hint="eastAsia"/>
          <w:b/>
          <w:bCs/>
          <w:color w:val="auto"/>
          <w:szCs w:val="21"/>
          <w:highlight w:val="none"/>
          <w:lang w:val="en-US" w:eastAsia="zh-CN"/>
        </w:rPr>
      </w:pPr>
      <w:r>
        <w:rPr>
          <w:rFonts w:ascii="Times New Roman" w:eastAsia="宋体" w:hAnsi="Times New Roman" w:hint="eastAsia"/>
          <w:b/>
          <w:bCs/>
          <w:color w:val="auto"/>
          <w:szCs w:val="21"/>
          <w:highlight w:val="none"/>
          <w:lang w:val="en-US" w:eastAsia="zh-CN"/>
        </w:rPr>
        <w:t>图</w:t>
      </w:r>
      <w:r>
        <w:rPr>
          <w:rFonts w:ascii="Times New Roman" w:eastAsia="宋体" w:hAnsi="Times New Roman" w:hint="eastAsia"/>
          <w:b/>
          <w:bCs/>
          <w:color w:val="auto"/>
          <w:szCs w:val="21"/>
          <w:highlight w:val="none"/>
        </w:rPr>
        <w:t>1</w:t>
      </w:r>
      <w:r>
        <w:rPr>
          <w:rFonts w:ascii="Times New Roman" w:eastAsia="宋体" w:hAnsi="Times New Roman" w:hint="eastAsia"/>
          <w:b/>
          <w:bCs/>
          <w:color w:val="auto"/>
          <w:szCs w:val="21"/>
          <w:highlight w:val="none"/>
          <w:lang w:val="en-US" w:eastAsia="zh-CN"/>
        </w:rPr>
        <w:t>4</w:t>
      </w:r>
      <w:r>
        <w:rPr>
          <w:rFonts w:ascii="Times New Roman" w:eastAsia="宋体" w:hAnsi="Times New Roman" w:hint="eastAsia"/>
          <w:b/>
          <w:bCs/>
          <w:color w:val="auto"/>
          <w:szCs w:val="21"/>
          <w:highlight w:val="none"/>
        </w:rPr>
        <w:t xml:space="preserve">-1  </w:t>
      </w:r>
      <w:r>
        <w:rPr>
          <w:rFonts w:ascii="Times New Roman" w:eastAsia="宋体" w:hAnsi="Times New Roman" w:hint="eastAsia"/>
          <w:b/>
          <w:bCs/>
          <w:color w:val="auto"/>
          <w:szCs w:val="21"/>
          <w:highlight w:val="none"/>
          <w:lang w:val="en-US" w:eastAsia="zh-CN"/>
        </w:rPr>
        <w:t>电磁辐射检测报告（1）</w:t>
      </w:r>
    </w:p>
    <w:p>
      <w:pPr>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r>
        <w:rPr>
          <w:color w:val="auto"/>
          <w:highlight w:val="none"/>
        </w:rPr>
        <w:drawing>
          <wp:inline distT="0" distB="0" distL="114300" distR="114300">
            <wp:extent cx="5753100" cy="8143875"/>
            <wp:effectExtent l="0" t="0" r="0" b="9525"/>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xmlns:r="http://schemas.openxmlformats.org/officeDocument/2006/relationships" r:embed="rId48"/>
                    <a:stretch>
                      <a:fillRect/>
                    </a:stretch>
                  </pic:blipFill>
                  <pic:spPr>
                    <a:xfrm>
                      <a:off x="0" y="0"/>
                      <a:ext cx="5753100" cy="814387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rFonts w:ascii="Times New Roman" w:eastAsia="宋体" w:hAnsi="Times New Roman" w:hint="eastAsia"/>
          <w:b/>
          <w:bCs/>
          <w:color w:val="auto"/>
          <w:szCs w:val="21"/>
          <w:highlight w:val="none"/>
          <w:lang w:val="en-US" w:eastAsia="zh-CN"/>
        </w:rPr>
      </w:pPr>
      <w:r>
        <w:rPr>
          <w:rFonts w:ascii="Times New Roman" w:eastAsia="宋体" w:hAnsi="Times New Roman" w:hint="eastAsia"/>
          <w:b/>
          <w:bCs/>
          <w:color w:val="auto"/>
          <w:szCs w:val="21"/>
          <w:highlight w:val="none"/>
          <w:lang w:val="en-US" w:eastAsia="zh-CN"/>
        </w:rPr>
        <w:t>图</w:t>
      </w:r>
      <w:r>
        <w:rPr>
          <w:rFonts w:ascii="Times New Roman" w:eastAsia="宋体" w:hAnsi="Times New Roman" w:hint="eastAsia"/>
          <w:b/>
          <w:bCs/>
          <w:color w:val="auto"/>
          <w:szCs w:val="21"/>
          <w:highlight w:val="none"/>
        </w:rPr>
        <w:t>1</w:t>
      </w:r>
      <w:r>
        <w:rPr>
          <w:rFonts w:ascii="Times New Roman" w:eastAsia="宋体" w:hAnsi="Times New Roman" w:hint="eastAsia"/>
          <w:b/>
          <w:bCs/>
          <w:color w:val="auto"/>
          <w:szCs w:val="21"/>
          <w:highlight w:val="none"/>
          <w:lang w:val="en-US" w:eastAsia="zh-CN"/>
        </w:rPr>
        <w:t>4</w:t>
      </w:r>
      <w:r>
        <w:rPr>
          <w:rFonts w:ascii="Times New Roman" w:eastAsia="宋体" w:hAnsi="Times New Roman" w:hint="eastAsia"/>
          <w:b/>
          <w:bCs/>
          <w:color w:val="auto"/>
          <w:szCs w:val="21"/>
          <w:highlight w:val="none"/>
        </w:rPr>
        <w:t>-</w:t>
      </w:r>
      <w:r>
        <w:rPr>
          <w:rFonts w:ascii="Times New Roman" w:eastAsia="宋体" w:hAnsi="Times New Roman" w:hint="eastAsia"/>
          <w:b/>
          <w:bCs/>
          <w:color w:val="auto"/>
          <w:szCs w:val="21"/>
          <w:highlight w:val="none"/>
          <w:lang w:val="en-US" w:eastAsia="zh-CN"/>
        </w:rPr>
        <w:t>2</w:t>
      </w:r>
      <w:r>
        <w:rPr>
          <w:rFonts w:ascii="Times New Roman" w:eastAsia="宋体" w:hAnsi="Times New Roman" w:hint="eastAsia"/>
          <w:b/>
          <w:bCs/>
          <w:color w:val="auto"/>
          <w:szCs w:val="21"/>
          <w:highlight w:val="none"/>
        </w:rPr>
        <w:t xml:space="preserve">  </w:t>
      </w:r>
      <w:r>
        <w:rPr>
          <w:rFonts w:ascii="Times New Roman" w:eastAsia="宋体" w:hAnsi="Times New Roman" w:hint="eastAsia"/>
          <w:b/>
          <w:bCs/>
          <w:color w:val="auto"/>
          <w:szCs w:val="21"/>
          <w:highlight w:val="none"/>
          <w:lang w:val="en-US" w:eastAsia="zh-CN"/>
        </w:rPr>
        <w:t>电磁辐射检测报告（2）</w:t>
      </w:r>
    </w:p>
    <w:p>
      <w:pPr>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rFonts w:hint="default"/>
          <w:color w:val="auto"/>
          <w:highlight w:val="none"/>
          <w:lang w:val="en-US" w:eastAsia="zh-CN"/>
        </w:rPr>
      </w:pP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废水、废气与噪音：</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根据“GBJ4－73”工业“三废”排放试行标准，“废水”硫化物控制为1毫克/升，“废气”的硫酸雾根据排放口高度不同分为60毫克/立方米及600毫克/立方米。移动机房内的电池组现均已采用免维护密封蓄电池，正常情况下无酸雾溢出，不产生废气；电池组基本杜绝了漏液现象，机房地面也不需要水洗，不产生“废水”。可实现对环境无污染，满足“三废”排放标准要求。</w:t>
      </w:r>
    </w:p>
    <w:p>
      <w:pPr>
        <w:widowControl/>
        <w:spacing w:line="240" w:lineRule="auto"/>
        <w:ind w:left="0" w:firstLine="480"/>
        <w:rPr>
          <w:rFonts w:ascii="Times New Roman" w:eastAsia="宋体" w:hAnsi="Times New Roman" w:cs="宋体"/>
          <w:color w:val="auto"/>
          <w:sz w:val="24"/>
          <w:highlight w:val="none"/>
        </w:rPr>
      </w:pPr>
      <w:r>
        <w:rPr>
          <w:rFonts w:ascii="Times New Roman" w:eastAsia="宋体" w:hAnsi="Times New Roman" w:hint="eastAsia"/>
          <w:color w:val="auto"/>
          <w:sz w:val="24"/>
          <w:highlight w:val="none"/>
        </w:rPr>
        <w:t>对于噪声超标的局站，应采取消噪措施以达到环保部门对噪音指标的要求。</w:t>
      </w:r>
    </w:p>
    <w:p>
      <w:pPr>
        <w:pStyle w:val="Heading3"/>
        <w:spacing w:line="240" w:lineRule="auto"/>
        <w:ind w:left="0" w:firstLine="482"/>
        <w:rPr>
          <w:rFonts w:ascii="Times New Roman" w:eastAsia="宋体" w:hAnsi="Times New Roman" w:cstheme="majorEastAsia"/>
          <w:color w:val="auto"/>
          <w:sz w:val="24"/>
          <w:szCs w:val="24"/>
          <w:highlight w:val="none"/>
        </w:rPr>
      </w:pPr>
      <w:bookmarkStart w:id="80" w:name="_Toc19590"/>
      <w:r>
        <w:rPr>
          <w:rFonts w:ascii="Times New Roman" w:eastAsia="宋体" w:hAnsi="Times New Roman" w:cstheme="majorEastAsia" w:hint="eastAsia"/>
          <w:color w:val="auto"/>
          <w:sz w:val="24"/>
          <w:szCs w:val="24"/>
          <w:highlight w:val="none"/>
        </w:rPr>
        <w:t>二、环境保护规划原则</w:t>
      </w:r>
      <w:bookmarkEnd w:id="80"/>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在通信建设的过程中应注意对生态环境的保护，遵循以下几点原则：</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（1）通信局</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站</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选址和通信线路路由选取应尽量减少占用耕地、林地和草地。</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（2）选择通信线路路由时，应尽量减少对沙化土地、水土流失地区、饮用水源保护区和其他生态敏感与脆弱区的影响。</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3）通信线路建设中应注意保护沿线植被，尽量减少林木砍伐和对天然植被的破坏。在地表植被难以自然恢复的生态脆弱区，施工前应将作业面的自然植被与表土层一起整块移走，并妥善养护，施工后再移回原处。</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（4）在山区、丘陵区、风沙区敷设的埋地管道、缆线，应根据实际情况采取有效的水土保持措施，以防止水土流失。</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（5）通信工程建设中不得砍伐或危害国家重点保护的野生植物。未经主管部门批准，严禁砍伐名胜古迹和革命纪念地的林木。</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（6）在项目施工期，为施工人员搭建的临时生活设施宜避免占用耕地，产生的生活污水和生活垃圾不得随意排放或丢弃，应按环保部门要求妥善处置。</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（7）建设施工中，应采用喷水、覆盖等有效措施控制扬尘；并防止临时堆放的土方、砂石被雨水冲走，造成水土流失破坏环境。</w:t>
      </w:r>
    </w:p>
    <w:p>
      <w:pPr>
        <w:pStyle w:val="Heading3"/>
        <w:spacing w:line="240" w:lineRule="auto"/>
        <w:ind w:left="0" w:firstLine="643"/>
        <w:rPr>
          <w:rFonts w:ascii="Times New Roman" w:eastAsia="宋体" w:hAnsi="Times New Roman" w:cstheme="majorEastAsia"/>
          <w:color w:val="auto"/>
          <w:sz w:val="24"/>
          <w:szCs w:val="24"/>
          <w:highlight w:val="none"/>
        </w:rPr>
      </w:pPr>
      <w:bookmarkStart w:id="81" w:name="_Toc21607"/>
      <w:r>
        <w:rPr>
          <w:rFonts w:ascii="Times New Roman" w:eastAsia="宋体" w:hAnsi="Times New Roman" w:hint="eastAsia"/>
          <w:color w:val="auto"/>
          <w:highlight w:val="none"/>
        </w:rPr>
        <w:fldChar w:fldCharType="begin"/>
      </w:r>
      <w:r>
        <w:rPr>
          <w:rFonts w:ascii="Times New Roman" w:eastAsia="宋体" w:hAnsi="Times New Roman"/>
          <w:color w:val="auto"/>
          <w:highlight w:val="none"/>
        </w:rPr>
        <w:instrText xml:space="preserve"> HYPERLINK \l "_Toc435729327" </w:instrText>
      </w:r>
      <w:r>
        <w:rPr>
          <w:rFonts w:ascii="Times New Roman" w:eastAsia="宋体" w:hAnsi="Times New Roman" w:hint="eastAsia"/>
          <w:color w:val="auto"/>
          <w:highlight w:val="none"/>
        </w:rPr>
        <w:fldChar w:fldCharType="separate"/>
      </w:r>
      <w:r>
        <w:rPr>
          <w:rFonts w:ascii="Times New Roman" w:eastAsia="宋体" w:hAnsi="Times New Roman" w:cstheme="majorEastAsia" w:hint="eastAsia"/>
          <w:color w:val="auto"/>
          <w:sz w:val="24"/>
          <w:szCs w:val="24"/>
          <w:highlight w:val="none"/>
        </w:rPr>
        <w:t>三、</w:t>
      </w:r>
      <w:r>
        <w:rPr>
          <w:rFonts w:ascii="Times New Roman" w:eastAsia="宋体" w:hAnsi="Times New Roman" w:cstheme="majorEastAsia" w:hint="eastAsia"/>
          <w:color w:val="auto"/>
          <w:sz w:val="24"/>
          <w:szCs w:val="24"/>
          <w:highlight w:val="none"/>
        </w:rPr>
        <w:fldChar w:fldCharType="end"/>
      </w:r>
      <w:r>
        <w:rPr>
          <w:color w:val="auto"/>
          <w:highlight w:val="none"/>
        </w:rPr>
        <w:fldChar w:fldCharType="begin"/>
      </w:r>
      <w:r>
        <w:rPr>
          <w:color w:val="auto"/>
          <w:highlight w:val="none"/>
        </w:rPr>
        <w:instrText xml:space="preserve"> HYPERLINK \l "_Toc435729328" </w:instrText>
      </w:r>
      <w:r>
        <w:rPr>
          <w:color w:val="auto"/>
          <w:highlight w:val="none"/>
        </w:rPr>
        <w:fldChar w:fldCharType="separate"/>
      </w:r>
      <w:r>
        <w:rPr>
          <w:rFonts w:ascii="Times New Roman" w:eastAsia="宋体" w:hAnsi="Times New Roman" w:cstheme="majorEastAsia" w:hint="eastAsia"/>
          <w:color w:val="auto"/>
          <w:sz w:val="24"/>
          <w:szCs w:val="24"/>
          <w:highlight w:val="none"/>
        </w:rPr>
        <w:t>工程对环境的影响</w:t>
      </w:r>
      <w:r>
        <w:rPr>
          <w:rFonts w:ascii="Times New Roman" w:eastAsia="宋体" w:hAnsi="Times New Roman" w:cstheme="majorEastAsia" w:hint="eastAsia"/>
          <w:color w:val="auto"/>
          <w:sz w:val="24"/>
          <w:szCs w:val="24"/>
          <w:highlight w:val="none"/>
        </w:rPr>
        <w:fldChar w:fldCharType="end"/>
      </w:r>
      <w:bookmarkEnd w:id="81"/>
    </w:p>
    <w:p>
      <w:pPr>
        <w:pStyle w:val="a7"/>
        <w:spacing w:before="0" w:line="240" w:lineRule="auto"/>
        <w:ind w:left="0"/>
        <w:rPr>
          <w:rFonts w:ascii="Times New Roman" w:eastAsia="宋体" w:hAnsi="Times New Roman"/>
          <w:color w:val="auto"/>
          <w:highlight w:val="none"/>
        </w:rPr>
      </w:pPr>
      <w:r>
        <w:rPr>
          <w:rFonts w:ascii="Times New Roman" w:eastAsia="宋体" w:hAnsi="Times New Roman" w:hint="eastAsia"/>
          <w:color w:val="auto"/>
          <w:highlight w:val="none"/>
        </w:rPr>
        <w:t>5G基站建设工程采用的5G设备和材料，应在国家环保局发布的相关规定（</w:t>
      </w:r>
      <w:r>
        <w:rPr>
          <w:rFonts w:ascii="Times New Roman" w:eastAsia="宋体" w:hAnsi="Times New Roman"/>
          <w:color w:val="auto"/>
          <w:highlight w:val="none"/>
        </w:rPr>
        <w:t>GB8702-</w:t>
      </w:r>
      <w:r>
        <w:rPr>
          <w:rFonts w:ascii="Times New Roman" w:eastAsia="宋体" w:hAnsi="Times New Roman" w:hint="eastAsia"/>
          <w:color w:val="auto"/>
          <w:highlight w:val="none"/>
        </w:rPr>
        <w:t>2014）范围之内，不得对周围环境产生不良影响。</w:t>
      </w:r>
    </w:p>
    <w:p>
      <w:pPr>
        <w:pStyle w:val="Heading3"/>
        <w:spacing w:line="240" w:lineRule="auto"/>
        <w:ind w:left="0" w:firstLine="643"/>
        <w:rPr>
          <w:rFonts w:ascii="Times New Roman" w:eastAsia="宋体" w:hAnsi="Times New Roman" w:cstheme="majorEastAsia"/>
          <w:color w:val="auto"/>
          <w:sz w:val="24"/>
          <w:szCs w:val="24"/>
          <w:highlight w:val="none"/>
        </w:rPr>
      </w:pPr>
      <w:bookmarkStart w:id="82" w:name="_Toc22728"/>
      <w:r>
        <w:rPr>
          <w:rFonts w:ascii="Times New Roman" w:eastAsia="宋体" w:hAnsi="Times New Roman" w:cstheme="majorEastAsia" w:hint="eastAsia"/>
          <w:color w:val="auto"/>
          <w:sz w:val="24"/>
          <w:szCs w:val="24"/>
          <w:highlight w:val="none"/>
        </w:rPr>
        <w:t>四、节能减排</w:t>
      </w:r>
      <w:bookmarkEnd w:id="79"/>
      <w:r>
        <w:rPr>
          <w:rFonts w:ascii="Times New Roman" w:eastAsia="宋体" w:hAnsi="Times New Roman" w:cstheme="majorEastAsia" w:hint="eastAsia"/>
          <w:color w:val="auto"/>
          <w:sz w:val="24"/>
          <w:szCs w:val="24"/>
          <w:highlight w:val="none"/>
        </w:rPr>
        <w:t>方式</w:t>
      </w:r>
      <w:bookmarkEnd w:id="82"/>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电能的节约是电信运营企业节能减排最核心的环节。机房、基站和办公营业设施的耗电必须要考虑节约手段。</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（1）通过管理节能，通过科学的技术分析，合理设置机房和基站的空调温度，可以有效降低空调运行时间，从而可以达到很好的节能效果。</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（2）从技术上节能，可开展智能通风的改造，节能效果非常理想。另外智能热交换系统也能大大降低基站的温度，同样可以实现降低基站温度，减少空调运行时间的目的。</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除了上述影响空调耗电的技术改造之外，通过对建筑的改造也可以实现空调节能。目前，比较成熟的建筑节能措施有：</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（1）减少建筑物的体形系数。所谓的建筑物体形系数就是指建筑物与室外大气接触的外表面积与外表面积所包围的建筑体积之比。</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（2）冬季遮阳，减少室内的热损失；夏季遮阳，使室外的热量进不到室内，从而降低空调的耗能。</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（3）减小窗墙面积比。</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（4）屋面加强保温层。</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（5）外墙加强保温层。</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（6）选用节能外门窗。</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（7）注意照明节能。如采购更加节能的节能灯，合理设计单位照明功耗。</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8）在具备技术可行性和经济合理性的情况下，主要在工程中宜采用合理的节能手段降低电力消耗，例如采购低功耗的通信设备和空调、减少窗面积、进室孔洞的密封、选用节能外门窗并确保关闭严实、采购更加节能的节能灯等。在工程建设中，注意节约用电、用水；并且充分保护土地资源，节省建设用地；工程中用的设备材料工器具应满足各相关行业的节能降耗标准。</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另外在工程规划建设中通过以下措施：</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（1）推进基站共建共享</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通过统一规划，分步实施，提高基站共建共享率，减少基站重复建设，才能最大程度地节约土地资源和基站能耗。规划期间，基站建设必须共建共享，实现2030年的共建共享率达到80%的目标，实现基站建设节地减排。</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(2) 移动通信机房</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提倡采取共用机房形式提高通信机房使用率。</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新建机房选址优先选择市电引入方便的区域。</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机房的照明设备提倡使用节能灯具。</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机房墙体、门窗、屋面、地面可以考虑采取相关节能措施，保证建筑的节能效果。</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(3) 空调</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空调设备的选择要合理，根据基站具体情况确定空调的规格、型号，选择整体技术性能高的空调设备。</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空调设备安装方式要合理。如室内机的安装位置应考虑气流组织合理，避免气流短路；室外机布置应注意朝向，考虑遮阳措施，避免</w:t>
      </w:r>
      <w:r>
        <w:rPr>
          <w:rFonts w:ascii="Times New Roman" w:eastAsia="宋体" w:hAnsi="Times New Roman" w:hint="eastAsia"/>
          <w:color w:val="auto"/>
          <w:sz w:val="24"/>
          <w:highlight w:val="none"/>
          <w:lang w:val="en-US" w:eastAsia="zh-CN"/>
        </w:rPr>
        <w:t>日晒</w:t>
      </w:r>
      <w:r>
        <w:rPr>
          <w:rFonts w:ascii="Times New Roman" w:eastAsia="宋体" w:hAnsi="Times New Roman" w:hint="eastAsia"/>
          <w:color w:val="auto"/>
          <w:sz w:val="24"/>
          <w:highlight w:val="none"/>
        </w:rPr>
        <w:t>，同时室外机的通风应顺畅，保证散热效果。</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加强空调系统日常维护管理，以保证空调设备高效运行。</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 xml:space="preserve"> (4) 电源系统</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新建基站配套电源设备积极采用绿色节能型电源系统，杜绝低效高耗设备入网。</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对现有基站部分低效、故障率高、超期服役等老旧电源设备进行更换。</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新建基站配套电源设备精确化配置，在充分保障供电安全前提下，尽量缩减设备配置，减少不必要冗余。</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积极推进与蓄电池厂家合作绿色回收行动和部分可利用蓄电池修复工作。</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(5) 主设备</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尽量降低主设备耗电量。建议采用节能型通信设备；</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已有高耗能设备各运营商可自主进行相关技术改造。</w:t>
      </w:r>
    </w:p>
    <w:p>
      <w:pPr>
        <w:pStyle w:val="Heading3"/>
        <w:spacing w:line="240" w:lineRule="auto"/>
        <w:ind w:left="0" w:firstLine="482"/>
        <w:rPr>
          <w:rFonts w:ascii="Times New Roman" w:eastAsia="宋体" w:hAnsi="Times New Roman" w:cstheme="majorEastAsia"/>
          <w:color w:val="auto"/>
          <w:sz w:val="24"/>
          <w:szCs w:val="24"/>
          <w:highlight w:val="none"/>
        </w:rPr>
      </w:pPr>
      <w:bookmarkStart w:id="83" w:name="_Toc421799733"/>
      <w:bookmarkStart w:id="84" w:name="_Toc20035"/>
      <w:bookmarkStart w:id="85" w:name="_Toc448064635"/>
      <w:r>
        <w:rPr>
          <w:rFonts w:ascii="Times New Roman" w:eastAsia="宋体" w:hAnsi="Times New Roman" w:cstheme="majorEastAsia" w:hint="eastAsia"/>
          <w:color w:val="auto"/>
          <w:sz w:val="24"/>
          <w:szCs w:val="24"/>
          <w:highlight w:val="none"/>
        </w:rPr>
        <w:t>五、电磁辐射与社会风险管理</w:t>
      </w:r>
      <w:bookmarkEnd w:id="83"/>
      <w:bookmarkEnd w:id="84"/>
      <w:bookmarkEnd w:id="85"/>
    </w:p>
    <w:p>
      <w:pPr>
        <w:widowControl/>
        <w:spacing w:line="240" w:lineRule="auto"/>
        <w:ind w:left="0" w:firstLine="480"/>
        <w:rPr>
          <w:rFonts w:ascii="Times New Roman" w:eastAsia="宋体" w:hAnsi="Times New Roman"/>
          <w:color w:val="auto"/>
          <w:sz w:val="24"/>
          <w:highlight w:val="none"/>
        </w:rPr>
      </w:pPr>
      <w:bookmarkStart w:id="86" w:name="_Toc421799739"/>
      <w:r>
        <w:rPr>
          <w:rFonts w:ascii="Times New Roman" w:eastAsia="宋体" w:hAnsi="Times New Roman" w:hint="eastAsia"/>
          <w:color w:val="auto"/>
          <w:sz w:val="24"/>
          <w:highlight w:val="none"/>
        </w:rPr>
        <w:t>（1）电磁辐射标准</w:t>
      </w: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rPr>
        <w:t>移动基站建设应按要求进行电磁辐射环境影响评价，并通过环保部门的审批。移动通信电磁辐射控制标准应执行《电磁环境控制限值》（GB8702-2014）。为控制基站所致公众曝露，环境中基站参数的方均根值应满足《电磁环境控制限值》（GB8702-2014）的要求。</w:t>
      </w:r>
    </w:p>
    <w:p>
      <w:pPr>
        <w:widowControl/>
        <w:numPr>
          <w:ilvl w:val="0"/>
          <w:numId w:val="6"/>
        </w:numPr>
        <w:spacing w:line="240" w:lineRule="auto"/>
        <w:ind w:left="0" w:firstLine="480"/>
        <w:rPr>
          <w:rFonts w:ascii="宋体" w:eastAsia="宋体" w:hAnsi="宋体" w:hint="eastAsia"/>
          <w:color w:val="auto"/>
          <w:sz w:val="24"/>
          <w:szCs w:val="24"/>
          <w:highlight w:val="none"/>
        </w:rPr>
      </w:pPr>
      <w:bookmarkStart w:id="87" w:name="_Toc1479"/>
      <w:r>
        <w:rPr>
          <w:rFonts w:ascii="宋体" w:eastAsia="宋体" w:hAnsi="宋体" w:hint="eastAsia"/>
          <w:color w:val="auto"/>
          <w:sz w:val="24"/>
          <w:szCs w:val="24"/>
          <w:highlight w:val="none"/>
        </w:rPr>
        <w:t>电磁辐射限值</w:t>
      </w:r>
      <w:bookmarkEnd w:id="87"/>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rPr>
        <w:t>电磁辐射，是指能量以电磁波形式由信号发射源发射到空间的现象。关于电磁辐射对人体健康是否有害的问题，世界卫生组织于1996年启动课题研究，包括中国在内有60多个国家参与该项研究，历经11年，2006年得出结论：过量的电磁辐射才会对人体产生危害，移动通信产生的电磁辐射频率一般从900—2100MHz，儿童白血病及癌症、神经性疾病等与电磁辐射没有因果关系。</w:t>
      </w:r>
    </w:p>
    <w:p>
      <w:pPr>
        <w:widowControl/>
        <w:spacing w:line="240" w:lineRule="auto"/>
        <w:ind w:left="0" w:firstLine="480"/>
        <w:rPr>
          <w:rFonts w:ascii="宋体" w:eastAsia="宋体" w:hAnsi="宋体"/>
          <w:color w:val="auto"/>
          <w:sz w:val="24"/>
          <w:szCs w:val="24"/>
          <w:highlight w:val="none"/>
        </w:rPr>
      </w:pPr>
      <w:r>
        <w:rPr>
          <w:rFonts w:ascii="Times New Roman" w:eastAsia="宋体" w:hAnsi="Times New Roman" w:hint="eastAsia"/>
          <w:color w:val="auto"/>
          <w:sz w:val="24"/>
          <w:highlight w:val="none"/>
        </w:rPr>
        <w:t>国家标准《电磁环境控制限值》（GB8702-2014）中规定，在30~3000（MHz）频率范围内，对公众的电磁辐射防护标准为电磁辐射源在接受点产生的功率密度小于0.4W/m2(40μW/cm2)。而欧洲大部分国家现在都是200μW/cm2，可见我国标准较世界多个发达国家（美国、日本、澳大利亚、欧盟）更为严格。国家标准《电磁环境控制限值》</w:t>
      </w:r>
      <w:r>
        <w:rPr>
          <w:rFonts w:ascii="宋体" w:eastAsia="宋体" w:hAnsi="宋体"/>
          <w:color w:val="auto"/>
          <w:sz w:val="24"/>
          <w:szCs w:val="24"/>
          <w:highlight w:val="none"/>
        </w:rPr>
        <w:t>（GB8702-2014）中规定，在3000~150000（MHz）频率范围内，对公众的电磁辐射防护标准为电磁辐射源在接受点产生的功率密度小于f/7500W/m</w:t>
      </w:r>
      <w:r>
        <w:rPr>
          <w:rFonts w:ascii="宋体" w:eastAsia="宋体" w:hAnsi="宋体"/>
          <w:color w:val="auto"/>
          <w:sz w:val="24"/>
          <w:szCs w:val="24"/>
          <w:highlight w:val="none"/>
          <w:vertAlign w:val="superscript"/>
        </w:rPr>
        <w:t>2</w:t>
      </w:r>
      <w:r>
        <w:rPr>
          <w:rFonts w:ascii="宋体" w:eastAsia="宋体" w:hAnsi="宋体"/>
          <w:color w:val="auto"/>
          <w:sz w:val="24"/>
          <w:szCs w:val="24"/>
          <w:highlight w:val="none"/>
        </w:rPr>
        <w:t>(40~200μW/cm</w:t>
      </w:r>
      <w:r>
        <w:rPr>
          <w:rFonts w:ascii="宋体" w:eastAsia="宋体" w:hAnsi="宋体"/>
          <w:color w:val="auto"/>
          <w:sz w:val="24"/>
          <w:szCs w:val="24"/>
          <w:highlight w:val="none"/>
          <w:vertAlign w:val="superscript"/>
        </w:rPr>
        <w:t>2</w:t>
      </w:r>
      <w:r>
        <w:rPr>
          <w:rFonts w:ascii="宋体" w:eastAsia="宋体" w:hAnsi="宋体"/>
          <w:color w:val="auto"/>
          <w:sz w:val="24"/>
          <w:szCs w:val="24"/>
          <w:highlight w:val="none"/>
        </w:rPr>
        <w:t>)。</w:t>
      </w:r>
    </w:p>
    <w:p>
      <w:pPr>
        <w:widowControl/>
        <w:spacing w:line="240" w:lineRule="auto"/>
        <w:ind w:left="0" w:firstLine="480"/>
        <w:rPr>
          <w:rFonts w:ascii="宋体" w:eastAsia="宋体" w:hAnsi="宋体"/>
          <w:color w:val="auto"/>
          <w:sz w:val="24"/>
          <w:szCs w:val="24"/>
          <w:highlight w:val="none"/>
        </w:rPr>
      </w:pPr>
      <w:r>
        <w:rPr>
          <w:rFonts w:ascii="宋体" w:eastAsia="宋体" w:hAnsi="宋体"/>
          <w:color w:val="auto"/>
          <w:sz w:val="24"/>
          <w:szCs w:val="24"/>
          <w:highlight w:val="none"/>
        </w:rPr>
        <w:t>目前我国分配的移动通信频段均在</w:t>
      </w:r>
      <w:r>
        <w:rPr>
          <w:rFonts w:ascii="宋体" w:eastAsia="宋体" w:hAnsi="宋体" w:hint="eastAsia"/>
          <w:color w:val="auto"/>
          <w:sz w:val="24"/>
          <w:szCs w:val="24"/>
          <w:highlight w:val="none"/>
        </w:rPr>
        <w:t>上述</w:t>
      </w:r>
      <w:r>
        <w:rPr>
          <w:rFonts w:ascii="宋体" w:eastAsia="宋体" w:hAnsi="宋体"/>
          <w:color w:val="auto"/>
          <w:sz w:val="24"/>
          <w:szCs w:val="24"/>
          <w:highlight w:val="none"/>
        </w:rPr>
        <w:t>范围内。</w:t>
      </w:r>
      <w:r>
        <w:rPr>
          <w:rFonts w:ascii="宋体" w:eastAsia="宋体" w:hAnsi="宋体" w:hint="eastAsia"/>
          <w:color w:val="auto"/>
          <w:sz w:val="24"/>
          <w:szCs w:val="24"/>
          <w:highlight w:val="none"/>
        </w:rPr>
        <w:t>以</w:t>
      </w:r>
      <w:r>
        <w:rPr>
          <w:rFonts w:ascii="宋体" w:eastAsia="宋体" w:hAnsi="宋体"/>
          <w:color w:val="auto"/>
          <w:sz w:val="24"/>
          <w:szCs w:val="24"/>
          <w:highlight w:val="none"/>
        </w:rPr>
        <w:t>5G Cband 200W的发射功率为例，在半径为10米的球面空间范围内的电磁辐射强度是200W/</w:t>
      </w:r>
      <w:r>
        <w:rPr>
          <w:rFonts w:ascii="宋体" w:eastAsia="宋体" w:hAnsi="宋体" w:hint="eastAsia"/>
          <w:color w:val="auto"/>
          <w:sz w:val="24"/>
          <w:szCs w:val="24"/>
          <w:highlight w:val="none"/>
        </w:rPr>
        <w:t>(</w:t>
      </w:r>
      <w:r>
        <w:rPr>
          <w:rFonts w:ascii="宋体" w:eastAsia="宋体" w:hAnsi="宋体"/>
          <w:color w:val="auto"/>
          <w:sz w:val="24"/>
          <w:szCs w:val="24"/>
          <w:highlight w:val="none"/>
        </w:rPr>
        <w:t>4×3.14×10×10</w:t>
      </w:r>
      <w:r>
        <w:rPr>
          <w:rFonts w:ascii="宋体" w:eastAsia="宋体" w:hAnsi="宋体" w:hint="eastAsia"/>
          <w:color w:val="auto"/>
          <w:sz w:val="24"/>
          <w:szCs w:val="24"/>
          <w:highlight w:val="none"/>
        </w:rPr>
        <w:t>)</w:t>
      </w:r>
      <w:r>
        <w:rPr>
          <w:rFonts w:ascii="宋体" w:eastAsia="宋体" w:hAnsi="宋体"/>
          <w:color w:val="auto"/>
          <w:sz w:val="24"/>
          <w:szCs w:val="24"/>
          <w:highlight w:val="none"/>
        </w:rPr>
        <w:t>m2=0.159W/m2（15.9μW/cm2），远远低于国标限值。</w:t>
      </w:r>
    </w:p>
    <w:p>
      <w:pPr>
        <w:widowControl/>
        <w:spacing w:line="240" w:lineRule="auto"/>
        <w:ind w:left="0" w:firstLine="480"/>
        <w:rPr>
          <w:rFonts w:ascii="宋体" w:eastAsia="宋体" w:hAnsi="宋体"/>
          <w:color w:val="auto"/>
          <w:sz w:val="24"/>
          <w:szCs w:val="24"/>
          <w:highlight w:val="none"/>
        </w:rPr>
      </w:pPr>
      <w:r>
        <w:rPr>
          <w:rFonts w:ascii="宋体" w:eastAsia="宋体" w:hAnsi="宋体" w:hint="eastAsia"/>
          <w:color w:val="auto"/>
          <w:sz w:val="24"/>
          <w:szCs w:val="24"/>
          <w:highlight w:val="none"/>
        </w:rPr>
        <w:t>根据《电磁辐射环境影响评价方法与标准》（</w:t>
      </w:r>
      <w:r>
        <w:rPr>
          <w:rFonts w:ascii="宋体" w:eastAsia="宋体" w:hAnsi="宋体"/>
          <w:color w:val="auto"/>
          <w:sz w:val="24"/>
          <w:szCs w:val="24"/>
          <w:highlight w:val="none"/>
        </w:rPr>
        <w:t>HJ/T10.3-1996）中的规定，公众总的受照射剂量包括各种电磁辐射源对其影响的总和，即不仅包括拟建设施可能或已经造成影响，还要包括已有背景电磁辐射的影响。对单个项目的影响必须限制在《电磁环境控制限值》中规定限值的若干分之一。在评价时，对于由国家环保总局负责审批的大型项目可取《电磁环境控制限值》中功率密度限值的1/2，其它项目则取功率密度限值的1/5作为评价标准。</w:t>
      </w:r>
    </w:p>
    <w:p>
      <w:pPr>
        <w:widowControl/>
        <w:spacing w:line="240" w:lineRule="auto"/>
        <w:ind w:left="0" w:firstLine="480"/>
        <w:rPr>
          <w:rFonts w:ascii="宋体" w:eastAsia="宋体" w:hAnsi="宋体"/>
          <w:color w:val="auto"/>
          <w:sz w:val="24"/>
          <w:szCs w:val="24"/>
          <w:highlight w:val="none"/>
        </w:rPr>
      </w:pPr>
      <w:r>
        <w:rPr>
          <w:rFonts w:ascii="宋体" w:eastAsia="宋体" w:hAnsi="宋体" w:hint="eastAsia"/>
          <w:color w:val="auto"/>
          <w:sz w:val="24"/>
          <w:szCs w:val="24"/>
          <w:highlight w:val="none"/>
        </w:rPr>
        <w:t>一般移动通信基站建设项目的环境影响评价以《电磁环境控制限值》中功率密度限值的</w:t>
      </w:r>
      <w:r>
        <w:rPr>
          <w:rFonts w:ascii="宋体" w:eastAsia="宋体" w:hAnsi="宋体"/>
          <w:color w:val="auto"/>
          <w:sz w:val="24"/>
          <w:szCs w:val="24"/>
          <w:highlight w:val="none"/>
        </w:rPr>
        <w:t>1/5作为评价标准，即公众照射导出限值为8μW/cm2。</w:t>
      </w:r>
    </w:p>
    <w:p>
      <w:pPr>
        <w:widowControl/>
        <w:spacing w:line="240" w:lineRule="auto"/>
        <w:ind w:left="0" w:firstLine="480"/>
        <w:rPr>
          <w:rFonts w:eastAsia="宋体" w:hint="default"/>
          <w:color w:val="auto"/>
          <w:highlight w:val="none"/>
          <w:lang w:val="en-US" w:eastAsia="zh-CN"/>
        </w:rPr>
      </w:pPr>
      <w:r>
        <w:rPr>
          <w:rFonts w:ascii="宋体" w:eastAsia="宋体" w:hAnsi="宋体" w:hint="eastAsia"/>
          <w:color w:val="auto"/>
          <w:sz w:val="24"/>
          <w:szCs w:val="24"/>
          <w:highlight w:val="none"/>
          <w:lang w:val="en-US" w:eastAsia="zh-CN"/>
        </w:rPr>
        <w:t>综合结论</w:t>
      </w:r>
      <w:r>
        <w:rPr>
          <w:rFonts w:ascii="宋体" w:eastAsia="宋体" w:hAnsi="宋体"/>
          <w:color w:val="auto"/>
          <w:sz w:val="24"/>
          <w:szCs w:val="24"/>
          <w:highlight w:val="none"/>
        </w:rPr>
        <w:t>移动通信产生的电磁辐射</w:t>
      </w:r>
      <w:r>
        <w:rPr>
          <w:rFonts w:ascii="宋体" w:eastAsia="宋体" w:hAnsi="宋体" w:hint="eastAsia"/>
          <w:color w:val="auto"/>
          <w:sz w:val="24"/>
          <w:szCs w:val="24"/>
          <w:highlight w:val="none"/>
          <w:lang w:val="en-US" w:eastAsia="zh-CN"/>
        </w:rPr>
        <w:t>符合国家和国际标准，移动通信电磁辐射对环境和人体不构成危害。</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w:t>
      </w:r>
      <w:r>
        <w:rPr>
          <w:rFonts w:ascii="Times New Roman" w:eastAsia="宋体" w:hAnsi="Times New Roman" w:hint="eastAsia"/>
          <w:color w:val="auto"/>
          <w:sz w:val="24"/>
          <w:highlight w:val="none"/>
          <w:lang w:val="en-US" w:eastAsia="zh-CN"/>
        </w:rPr>
        <w:t>3</w:t>
      </w:r>
      <w:r>
        <w:rPr>
          <w:rFonts w:ascii="Times New Roman" w:eastAsia="宋体" w:hAnsi="Times New Roman" w:hint="eastAsia"/>
          <w:color w:val="auto"/>
          <w:sz w:val="24"/>
          <w:highlight w:val="none"/>
        </w:rPr>
        <w:t>）</w:t>
      </w:r>
      <w:bookmarkEnd w:id="86"/>
      <w:r>
        <w:rPr>
          <w:rFonts w:ascii="Times New Roman" w:eastAsia="宋体" w:hAnsi="Times New Roman" w:hint="eastAsia"/>
          <w:color w:val="auto"/>
          <w:sz w:val="24"/>
          <w:highlight w:val="none"/>
        </w:rPr>
        <w:t>社会风险管理</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规划设计：一是设计阶段对各个规划站址的电磁环境进行评估，通过评估的方能建设。二是根据基站周边的环境来确定基站的社会风险，红色站址须预先与当地社区进行正式的沟通，黄色的站址则宜进行密切监控，并关注公众对基站担忧的变化情况。</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建设：网络建设时在基站周边应设置明显的安全范围标志或防护隔离设施。</w:t>
      </w: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rPr>
        <w:t xml:space="preserve">运营：在网络建成后，应由具备相关资质的单位对站址进行周期性的电磁辐射监测，并出具监测报告。 </w:t>
      </w:r>
    </w:p>
    <w:p>
      <w:pPr>
        <w:pStyle w:val="NormalIndent"/>
        <w:rPr>
          <w:rFonts w:hint="eastAsia"/>
          <w:color w:val="auto"/>
          <w:highlight w:val="none"/>
        </w:rPr>
      </w:pPr>
      <w:r>
        <w:rPr>
          <w:rFonts w:hint="eastAsia"/>
          <w:color w:val="auto"/>
          <w:highlight w:val="none"/>
        </w:rPr>
        <w:t>（</w:t>
      </w:r>
      <w:r>
        <w:rPr>
          <w:rFonts w:hint="eastAsia"/>
          <w:color w:val="auto"/>
          <w:highlight w:val="none"/>
          <w:lang w:val="en-US" w:eastAsia="zh-CN"/>
        </w:rPr>
        <w:t>4</w:t>
      </w:r>
      <w:r>
        <w:rPr>
          <w:rFonts w:hint="eastAsia"/>
          <w:color w:val="auto"/>
          <w:highlight w:val="none"/>
        </w:rPr>
        <w:t>）建立电磁辐射环境保护管理制度</w:t>
      </w:r>
    </w:p>
    <w:p>
      <w:pPr>
        <w:pStyle w:val="NormalIndent"/>
        <w:rPr>
          <w:color w:val="auto"/>
          <w:highlight w:val="none"/>
        </w:rPr>
      </w:pPr>
      <w:r>
        <w:rPr>
          <w:rFonts w:hint="eastAsia"/>
          <w:color w:val="auto"/>
          <w:highlight w:val="none"/>
        </w:rPr>
        <w:t>为加强环境管理，运营商应成立基站工程电磁环境工作管理小组，负责组织开展各期移动通信基站工程的环境影响评价及竣工环境保护验收工作，对移动通信基站工程的合理规划，建设及运行进行监督管理。</w:t>
      </w:r>
    </w:p>
    <w:p>
      <w:pPr>
        <w:widowControl/>
        <w:spacing w:line="240" w:lineRule="auto"/>
        <w:ind w:left="0" w:firstLine="480"/>
        <w:rPr>
          <w:rFonts w:ascii="Times New Roman" w:eastAsia="宋体" w:hAnsi="Times New Roman"/>
          <w:color w:val="auto"/>
          <w:sz w:val="24"/>
          <w:highlight w:val="none"/>
        </w:rPr>
      </w:pPr>
      <w:bookmarkStart w:id="88" w:name="_Toc421799740"/>
      <w:r>
        <w:rPr>
          <w:rFonts w:ascii="Times New Roman" w:eastAsia="宋体" w:hAnsi="Times New Roman" w:hint="eastAsia"/>
          <w:color w:val="auto"/>
          <w:sz w:val="24"/>
          <w:highlight w:val="none"/>
        </w:rPr>
        <w:t>（</w:t>
      </w:r>
      <w:r>
        <w:rPr>
          <w:rFonts w:ascii="Times New Roman" w:eastAsia="宋体" w:hAnsi="Times New Roman" w:hint="eastAsia"/>
          <w:color w:val="auto"/>
          <w:sz w:val="24"/>
          <w:highlight w:val="none"/>
          <w:lang w:val="en-US" w:eastAsia="zh-CN"/>
        </w:rPr>
        <w:t>5</w:t>
      </w:r>
      <w:r>
        <w:rPr>
          <w:rFonts w:ascii="Times New Roman" w:eastAsia="宋体" w:hAnsi="Times New Roman" w:hint="eastAsia"/>
          <w:color w:val="auto"/>
          <w:sz w:val="24"/>
          <w:highlight w:val="none"/>
        </w:rPr>
        <w:t>）沟通管理</w:t>
      </w:r>
      <w:bookmarkEnd w:id="88"/>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fldChar w:fldCharType="begin"/>
      </w:r>
      <w:r>
        <w:rPr>
          <w:rFonts w:ascii="Times New Roman" w:eastAsia="宋体" w:hAnsi="Times New Roman" w:hint="eastAsia"/>
          <w:color w:val="auto"/>
          <w:sz w:val="24"/>
          <w:highlight w:val="none"/>
        </w:rPr>
        <w:instrText xml:space="preserve"> = 1 \* GB3 </w:instrText>
      </w:r>
      <w:r>
        <w:rPr>
          <w:rFonts w:ascii="Times New Roman" w:eastAsia="宋体" w:hAnsi="Times New Roman" w:hint="eastAsia"/>
          <w:color w:val="auto"/>
          <w:sz w:val="24"/>
          <w:highlight w:val="none"/>
        </w:rPr>
        <w:fldChar w:fldCharType="separate"/>
      </w:r>
      <w:r>
        <w:rPr>
          <w:rFonts w:ascii="Times New Roman" w:eastAsia="宋体" w:hAnsi="Times New Roman" w:hint="eastAsia"/>
          <w:color w:val="auto"/>
          <w:sz w:val="24"/>
          <w:highlight w:val="none"/>
        </w:rPr>
        <w:t>①</w:t>
      </w:r>
      <w:r>
        <w:rPr>
          <w:rFonts w:ascii="Times New Roman" w:eastAsia="宋体" w:hAnsi="Times New Roman" w:hint="eastAsia"/>
          <w:color w:val="auto"/>
          <w:sz w:val="24"/>
          <w:highlight w:val="none"/>
        </w:rPr>
        <w:fldChar w:fldCharType="end"/>
      </w:r>
      <w:r>
        <w:rPr>
          <w:rFonts w:ascii="Times New Roman" w:eastAsia="宋体" w:hAnsi="Times New Roman" w:hint="eastAsia"/>
          <w:color w:val="auto"/>
          <w:sz w:val="24"/>
          <w:highlight w:val="none"/>
        </w:rPr>
        <w:t xml:space="preserve">给社区、业主委员会、学校的信，介绍站址设置的各种方案、对电磁辐射环境的评估结果及设站规划情况。 </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fldChar w:fldCharType="begin"/>
      </w:r>
      <w:r>
        <w:rPr>
          <w:rFonts w:ascii="Times New Roman" w:eastAsia="宋体" w:hAnsi="Times New Roman" w:hint="eastAsia"/>
          <w:color w:val="auto"/>
          <w:sz w:val="24"/>
          <w:highlight w:val="none"/>
        </w:rPr>
        <w:instrText xml:space="preserve"> = 2 \* GB3 </w:instrText>
      </w:r>
      <w:r>
        <w:rPr>
          <w:rFonts w:ascii="Times New Roman" w:eastAsia="宋体" w:hAnsi="Times New Roman" w:hint="eastAsia"/>
          <w:color w:val="auto"/>
          <w:sz w:val="24"/>
          <w:highlight w:val="none"/>
        </w:rPr>
        <w:fldChar w:fldCharType="separate"/>
      </w:r>
      <w:r>
        <w:rPr>
          <w:rFonts w:ascii="Times New Roman" w:eastAsia="宋体" w:hAnsi="Times New Roman" w:hint="eastAsia"/>
          <w:color w:val="auto"/>
          <w:sz w:val="24"/>
          <w:highlight w:val="none"/>
        </w:rPr>
        <w:t>②</w:t>
      </w:r>
      <w:r>
        <w:rPr>
          <w:rFonts w:ascii="Times New Roman" w:eastAsia="宋体" w:hAnsi="Times New Roman" w:hint="eastAsia"/>
          <w:color w:val="auto"/>
          <w:sz w:val="24"/>
          <w:highlight w:val="none"/>
        </w:rPr>
        <w:fldChar w:fldCharType="end"/>
      </w:r>
      <w:r>
        <w:rPr>
          <w:rFonts w:ascii="Times New Roman" w:eastAsia="宋体" w:hAnsi="Times New Roman" w:hint="eastAsia"/>
          <w:color w:val="auto"/>
          <w:sz w:val="24"/>
          <w:highlight w:val="none"/>
        </w:rPr>
        <w:t xml:space="preserve">站点公示，在居民区、学校及医院周边设置的基站，应进行公示。说明设站情况和电磁环境情况。 </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fldChar w:fldCharType="begin"/>
      </w:r>
      <w:r>
        <w:rPr>
          <w:rFonts w:ascii="Times New Roman" w:eastAsia="宋体" w:hAnsi="Times New Roman" w:hint="eastAsia"/>
          <w:color w:val="auto"/>
          <w:sz w:val="24"/>
          <w:highlight w:val="none"/>
        </w:rPr>
        <w:instrText xml:space="preserve"> = 3 \* GB3 </w:instrText>
      </w:r>
      <w:r>
        <w:rPr>
          <w:rFonts w:ascii="Times New Roman" w:eastAsia="宋体" w:hAnsi="Times New Roman" w:hint="eastAsia"/>
          <w:color w:val="auto"/>
          <w:sz w:val="24"/>
          <w:highlight w:val="none"/>
        </w:rPr>
        <w:fldChar w:fldCharType="separate"/>
      </w:r>
      <w:r>
        <w:rPr>
          <w:rFonts w:ascii="Times New Roman" w:eastAsia="宋体" w:hAnsi="Times New Roman" w:hint="eastAsia"/>
          <w:color w:val="auto"/>
          <w:sz w:val="24"/>
          <w:highlight w:val="none"/>
        </w:rPr>
        <w:t>③</w:t>
      </w:r>
      <w:r>
        <w:rPr>
          <w:rFonts w:ascii="Times New Roman" w:eastAsia="宋体" w:hAnsi="Times New Roman" w:hint="eastAsia"/>
          <w:color w:val="auto"/>
          <w:sz w:val="24"/>
          <w:highlight w:val="none"/>
        </w:rPr>
        <w:fldChar w:fldCharType="end"/>
      </w:r>
      <w:r>
        <w:rPr>
          <w:rFonts w:ascii="Times New Roman" w:eastAsia="宋体" w:hAnsi="Times New Roman" w:hint="eastAsia"/>
          <w:color w:val="auto"/>
          <w:sz w:val="24"/>
          <w:highlight w:val="none"/>
        </w:rPr>
        <w:t xml:space="preserve">面对面的宣传，普及基站及移动通信基本知识。 </w:t>
      </w: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rPr>
        <w:fldChar w:fldCharType="begin"/>
      </w:r>
      <w:r>
        <w:rPr>
          <w:rFonts w:ascii="Times New Roman" w:eastAsia="宋体" w:hAnsi="Times New Roman" w:hint="eastAsia"/>
          <w:color w:val="auto"/>
          <w:sz w:val="24"/>
          <w:highlight w:val="none"/>
        </w:rPr>
        <w:instrText xml:space="preserve"> = 4 \* GB3 </w:instrText>
      </w:r>
      <w:r>
        <w:rPr>
          <w:rFonts w:ascii="Times New Roman" w:eastAsia="宋体" w:hAnsi="Times New Roman" w:hint="eastAsia"/>
          <w:color w:val="auto"/>
          <w:sz w:val="24"/>
          <w:highlight w:val="none"/>
        </w:rPr>
        <w:fldChar w:fldCharType="separate"/>
      </w:r>
      <w:r>
        <w:rPr>
          <w:rFonts w:ascii="Times New Roman" w:eastAsia="宋体" w:hAnsi="Times New Roman" w:hint="eastAsia"/>
          <w:color w:val="auto"/>
          <w:sz w:val="24"/>
          <w:highlight w:val="none"/>
        </w:rPr>
        <w:t>④</w:t>
      </w:r>
      <w:r>
        <w:rPr>
          <w:rFonts w:ascii="Times New Roman" w:eastAsia="宋体" w:hAnsi="Times New Roman" w:hint="eastAsia"/>
          <w:color w:val="auto"/>
          <w:sz w:val="24"/>
          <w:highlight w:val="none"/>
        </w:rPr>
        <w:fldChar w:fldCharType="end"/>
      </w:r>
      <w:r>
        <w:rPr>
          <w:rFonts w:ascii="Times New Roman" w:eastAsia="宋体" w:hAnsi="Times New Roman" w:hint="eastAsia"/>
          <w:color w:val="auto"/>
          <w:sz w:val="24"/>
          <w:highlight w:val="none"/>
        </w:rPr>
        <w:t>通过新闻媒体进行宣传。</w:t>
      </w:r>
    </w:p>
    <w:p>
      <w:pPr>
        <w:widowControl/>
        <w:numPr>
          <w:ilvl w:val="0"/>
          <w:numId w:val="7"/>
        </w:numPr>
        <w:spacing w:line="240" w:lineRule="auto"/>
        <w:ind w:left="0" w:firstLine="480"/>
        <w:rPr>
          <w:rFonts w:ascii="Times New Roman" w:eastAsia="宋体" w:hAnsi="Times New Roman" w:hint="eastAsia"/>
          <w:color w:val="auto"/>
          <w:sz w:val="24"/>
          <w:highlight w:val="none"/>
        </w:rPr>
      </w:pPr>
      <w:bookmarkStart w:id="89" w:name="_Toc5008"/>
      <w:r>
        <w:rPr>
          <w:rFonts w:ascii="Times New Roman" w:eastAsia="宋体" w:hAnsi="Times New Roman" w:hint="eastAsia"/>
          <w:color w:val="auto"/>
          <w:sz w:val="24"/>
          <w:highlight w:val="none"/>
        </w:rPr>
        <w:t>消防安全</w:t>
      </w:r>
      <w:bookmarkEnd w:id="89"/>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rPr>
        <w:t>新建机房、新租机房的基站应具有相应的消防设备，遵守“预防为主、防消结合”的方针，维护消防安全，保护消防设施，健全防火安全责任制，做到职责到位，任务明确。原有机房的基站如果消防设备不合格或者缺少，应相应增加。对通信机房内的消防设备进行定时检查是否齐备，是否可以正常使用，确保通信机房的安全。</w:t>
      </w: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lang w:val="en-US" w:eastAsia="zh-CN"/>
        </w:rPr>
        <w:t>重点机房防火要求机房内灭火器、防毒面具、应急灯、孔洞防火封堵情况和自动气体灭火系统、火灾自动报警系统等相关消防设施做好日常巡检及维护管理，“安全出口”、“安全标识”等相关上墙信息的维护更新，确保相关消防设施处于正常</w:t>
      </w:r>
      <w:r>
        <w:rPr>
          <w:rFonts w:ascii="Times New Roman" w:eastAsia="宋体" w:hAnsi="Times New Roman" w:hint="eastAsia"/>
          <w:color w:val="auto"/>
          <w:sz w:val="24"/>
          <w:highlight w:val="none"/>
        </w:rPr>
        <w:t>工作状态。</w:t>
      </w:r>
    </w:p>
    <w:p>
      <w:pPr>
        <w:widowControl/>
        <w:spacing w:line="240" w:lineRule="auto"/>
        <w:ind w:left="0" w:firstLine="480"/>
        <w:rPr>
          <w:rFonts w:ascii="Times New Roman" w:eastAsia="宋体" w:hAnsi="Times New Roman" w:hint="eastAsia"/>
          <w:color w:val="auto"/>
          <w:sz w:val="24"/>
          <w:highlight w:val="none"/>
          <w:lang w:val="en-US" w:eastAsia="zh-CN"/>
        </w:rPr>
      </w:pPr>
      <w:r>
        <w:rPr>
          <w:rFonts w:ascii="Times New Roman" w:eastAsia="宋体" w:hAnsi="Times New Roman" w:hint="eastAsia"/>
          <w:color w:val="auto"/>
          <w:sz w:val="24"/>
          <w:highlight w:val="none"/>
          <w:lang w:val="en-US" w:eastAsia="zh-CN"/>
        </w:rPr>
        <w:t>（7）5G通信基础设施管理与维护</w:t>
      </w:r>
    </w:p>
    <w:p>
      <w:pPr>
        <w:widowControl/>
        <w:spacing w:line="240" w:lineRule="auto"/>
        <w:ind w:left="0" w:firstLine="480"/>
        <w:rPr>
          <w:rFonts w:ascii="Times New Roman" w:eastAsia="宋体" w:hAnsi="Times New Roman" w:hint="eastAsia"/>
          <w:color w:val="auto"/>
          <w:sz w:val="24"/>
          <w:highlight w:val="none"/>
          <w:lang w:val="en-US" w:eastAsia="zh-CN"/>
        </w:rPr>
      </w:pPr>
      <w:r>
        <w:rPr>
          <w:rFonts w:ascii="Times New Roman" w:eastAsia="宋体" w:hAnsi="Times New Roman" w:hint="eastAsia"/>
          <w:color w:val="auto"/>
          <w:sz w:val="24"/>
          <w:highlight w:val="none"/>
        </w:rPr>
        <w:fldChar w:fldCharType="begin"/>
      </w:r>
      <w:r>
        <w:rPr>
          <w:rFonts w:ascii="Times New Roman" w:eastAsia="宋体" w:hAnsi="Times New Roman" w:hint="eastAsia"/>
          <w:color w:val="auto"/>
          <w:sz w:val="24"/>
          <w:highlight w:val="none"/>
        </w:rPr>
        <w:instrText xml:space="preserve"> = 1 \* GB3 </w:instrText>
      </w:r>
      <w:r>
        <w:rPr>
          <w:rFonts w:ascii="Times New Roman" w:eastAsia="宋体" w:hAnsi="Times New Roman" w:hint="eastAsia"/>
          <w:color w:val="auto"/>
          <w:sz w:val="24"/>
          <w:highlight w:val="none"/>
        </w:rPr>
        <w:fldChar w:fldCharType="separate"/>
      </w:r>
      <w:r>
        <w:rPr>
          <w:rFonts w:ascii="Times New Roman" w:eastAsia="宋体" w:hAnsi="Times New Roman" w:hint="eastAsia"/>
          <w:color w:val="auto"/>
          <w:sz w:val="24"/>
          <w:highlight w:val="none"/>
        </w:rPr>
        <w:t>①</w:t>
      </w:r>
      <w:r>
        <w:rPr>
          <w:rFonts w:ascii="Times New Roman" w:eastAsia="宋体" w:hAnsi="Times New Roman" w:hint="eastAsia"/>
          <w:color w:val="auto"/>
          <w:sz w:val="24"/>
          <w:highlight w:val="none"/>
        </w:rPr>
        <w:fldChar w:fldCharType="end"/>
      </w:r>
      <w:r>
        <w:rPr>
          <w:rFonts w:ascii="Times New Roman" w:eastAsia="宋体" w:hAnsi="Times New Roman" w:hint="eastAsia"/>
          <w:color w:val="auto"/>
          <w:sz w:val="24"/>
          <w:highlight w:val="none"/>
          <w:lang w:val="en-US" w:eastAsia="zh-CN"/>
        </w:rPr>
        <w:t>5G通信基础设施管理</w:t>
      </w:r>
    </w:p>
    <w:p>
      <w:pPr>
        <w:widowControl/>
        <w:spacing w:line="240" w:lineRule="auto"/>
        <w:ind w:left="0" w:firstLine="480"/>
        <w:rPr>
          <w:rFonts w:ascii="Times New Roman" w:eastAsia="宋体" w:hAnsi="Times New Roman" w:hint="eastAsia"/>
          <w:color w:val="auto"/>
          <w:sz w:val="24"/>
          <w:highlight w:val="none"/>
          <w:lang w:val="en-US" w:eastAsia="zh-CN"/>
        </w:rPr>
      </w:pPr>
      <w:r>
        <w:rPr>
          <w:rFonts w:ascii="Times New Roman" w:eastAsia="宋体" w:hAnsi="Times New Roman" w:hint="eastAsia"/>
          <w:color w:val="auto"/>
          <w:sz w:val="24"/>
          <w:highlight w:val="none"/>
          <w:lang w:val="en-US" w:eastAsia="zh-CN"/>
        </w:rPr>
        <w:t>设备管理：确保所有</w:t>
      </w:r>
      <w:r>
        <w:rPr>
          <w:rFonts w:ascii="Times New Roman" w:eastAsia="宋体" w:hAnsi="Times New Roman" w:hint="default"/>
          <w:color w:val="auto"/>
          <w:sz w:val="24"/>
          <w:highlight w:val="none"/>
          <w:lang w:val="en-US" w:eastAsia="zh-CN"/>
        </w:rPr>
        <w:t>5G</w:t>
      </w:r>
      <w:r>
        <w:rPr>
          <w:rFonts w:ascii="Times New Roman" w:eastAsia="宋体" w:hAnsi="Times New Roman" w:hint="eastAsia"/>
          <w:color w:val="auto"/>
          <w:sz w:val="24"/>
          <w:highlight w:val="none"/>
          <w:lang w:val="en-US" w:eastAsia="zh-CN"/>
        </w:rPr>
        <w:t>通信设备正常运行，包括基站、传输设备、电源系统等。进行定期检查和维护，确保其正常运行并减少故障风险。</w:t>
      </w:r>
    </w:p>
    <w:p>
      <w:pPr>
        <w:widowControl/>
        <w:spacing w:line="240" w:lineRule="auto"/>
        <w:ind w:left="0" w:firstLine="480"/>
        <w:rPr>
          <w:rFonts w:ascii="Times New Roman" w:eastAsia="宋体" w:hAnsi="Times New Roman" w:hint="eastAsia"/>
          <w:color w:val="auto"/>
          <w:sz w:val="24"/>
          <w:highlight w:val="none"/>
          <w:lang w:val="en-US" w:eastAsia="zh-CN"/>
        </w:rPr>
      </w:pPr>
      <w:r>
        <w:rPr>
          <w:rFonts w:ascii="Times New Roman" w:eastAsia="宋体" w:hAnsi="Times New Roman" w:hint="eastAsia"/>
          <w:color w:val="auto"/>
          <w:sz w:val="24"/>
          <w:highlight w:val="none"/>
          <w:lang w:val="en-US" w:eastAsia="zh-CN"/>
        </w:rPr>
        <w:t>线路管理：检查和维护传输线路的完好性，确保线路无损坏或泄漏，防止信号损失和干扰。</w:t>
      </w:r>
    </w:p>
    <w:p>
      <w:pPr>
        <w:widowControl/>
        <w:spacing w:line="240" w:lineRule="auto"/>
        <w:ind w:left="0" w:firstLine="480"/>
        <w:rPr>
          <w:rFonts w:ascii="Times New Roman" w:eastAsia="宋体" w:hAnsi="Times New Roman" w:hint="eastAsia"/>
          <w:color w:val="auto"/>
          <w:sz w:val="24"/>
          <w:highlight w:val="none"/>
          <w:lang w:val="en-US" w:eastAsia="zh-CN"/>
        </w:rPr>
      </w:pPr>
      <w:r>
        <w:rPr>
          <w:rFonts w:ascii="Times New Roman" w:eastAsia="宋体" w:hAnsi="Times New Roman" w:hint="eastAsia"/>
          <w:color w:val="auto"/>
          <w:sz w:val="24"/>
          <w:highlight w:val="none"/>
          <w:lang w:val="en-US" w:eastAsia="zh-CN"/>
        </w:rPr>
        <w:t>安全管理：</w:t>
      </w:r>
      <w:r>
        <w:rPr>
          <w:rFonts w:ascii="Times New Roman" w:eastAsia="宋体" w:hAnsi="Times New Roman" w:hint="default"/>
          <w:color w:val="auto"/>
          <w:sz w:val="24"/>
          <w:highlight w:val="none"/>
          <w:lang w:val="en-US" w:eastAsia="zh-CN"/>
        </w:rPr>
        <w:t>1</w:t>
      </w:r>
      <w:r>
        <w:rPr>
          <w:rFonts w:ascii="Times New Roman" w:eastAsia="宋体" w:hAnsi="Times New Roman" w:hint="eastAsia"/>
          <w:color w:val="auto"/>
          <w:sz w:val="24"/>
          <w:highlight w:val="none"/>
          <w:lang w:val="en-US" w:eastAsia="zh-CN"/>
        </w:rPr>
        <w:t>、确保</w:t>
      </w:r>
      <w:r>
        <w:rPr>
          <w:rFonts w:ascii="Times New Roman" w:eastAsia="宋体" w:hAnsi="Times New Roman" w:hint="default"/>
          <w:color w:val="auto"/>
          <w:sz w:val="24"/>
          <w:highlight w:val="none"/>
          <w:lang w:val="en-US" w:eastAsia="zh-CN"/>
        </w:rPr>
        <w:t>5G</w:t>
      </w:r>
      <w:r>
        <w:rPr>
          <w:rFonts w:ascii="Times New Roman" w:eastAsia="宋体" w:hAnsi="Times New Roman" w:hint="eastAsia"/>
          <w:color w:val="auto"/>
          <w:sz w:val="24"/>
          <w:highlight w:val="none"/>
          <w:lang w:val="en-US" w:eastAsia="zh-CN"/>
        </w:rPr>
        <w:t>通信基础设施周围的安全，防止人为破坏和恶意攻击。定期巡查设施周围环境，发现可疑行为及时报告。</w:t>
      </w:r>
      <w:r>
        <w:rPr>
          <w:rFonts w:ascii="Times New Roman" w:eastAsia="宋体" w:hAnsi="Times New Roman" w:hint="default"/>
          <w:color w:val="auto"/>
          <w:sz w:val="24"/>
          <w:highlight w:val="none"/>
          <w:lang w:val="en-US" w:eastAsia="zh-CN"/>
        </w:rPr>
        <w:t>2</w:t>
      </w:r>
      <w:r>
        <w:rPr>
          <w:rFonts w:ascii="Times New Roman" w:eastAsia="宋体" w:hAnsi="Times New Roman" w:hint="eastAsia"/>
          <w:color w:val="auto"/>
          <w:sz w:val="24"/>
          <w:highlight w:val="none"/>
          <w:lang w:val="en-US" w:eastAsia="zh-CN"/>
        </w:rPr>
        <w:t>、对通信铁塔进行定期检查、保养和修理等工作，以确保其正常运行和安全性。</w:t>
      </w:r>
    </w:p>
    <w:p>
      <w:pPr>
        <w:keepNext w:val="0"/>
        <w:keepLines w:val="0"/>
        <w:widowControl w:val="0"/>
        <w:suppressLineNumbers w:val="0"/>
        <w:spacing w:before="0" w:beforeAutospacing="0" w:after="0" w:afterAutospacing="0"/>
        <w:ind w:left="0" w:right="0"/>
        <w:jc w:val="both"/>
        <w:rPr>
          <w:rFonts w:ascii="Times New Roman" w:eastAsia="宋体" w:hAnsi="Times New Roman" w:hint="eastAsia"/>
          <w:color w:val="auto"/>
          <w:sz w:val="24"/>
          <w:highlight w:val="none"/>
          <w:lang w:val="en-US" w:eastAsia="zh-CN"/>
        </w:rPr>
      </w:pPr>
      <w:r>
        <w:rPr>
          <w:rFonts w:ascii="Times New Roman" w:eastAsia="宋体" w:hAnsi="Times New Roman" w:hint="eastAsia"/>
          <w:color w:val="auto"/>
          <w:sz w:val="24"/>
          <w:highlight w:val="none"/>
        </w:rPr>
        <w:fldChar w:fldCharType="begin"/>
      </w:r>
      <w:r>
        <w:rPr>
          <w:rFonts w:ascii="Times New Roman" w:eastAsia="宋体" w:hAnsi="Times New Roman" w:hint="eastAsia"/>
          <w:color w:val="auto"/>
          <w:sz w:val="24"/>
          <w:highlight w:val="none"/>
        </w:rPr>
        <w:instrText xml:space="preserve"> = 2 \* GB3 </w:instrText>
      </w:r>
      <w:r>
        <w:rPr>
          <w:rFonts w:ascii="Times New Roman" w:eastAsia="宋体" w:hAnsi="Times New Roman" w:hint="eastAsia"/>
          <w:color w:val="auto"/>
          <w:sz w:val="24"/>
          <w:highlight w:val="none"/>
        </w:rPr>
        <w:fldChar w:fldCharType="separate"/>
      </w:r>
      <w:r>
        <w:rPr>
          <w:rFonts w:ascii="Times New Roman" w:eastAsia="宋体" w:hAnsi="Times New Roman" w:hint="eastAsia"/>
          <w:color w:val="auto"/>
          <w:sz w:val="24"/>
          <w:highlight w:val="none"/>
        </w:rPr>
        <w:t>②</w:t>
      </w:r>
      <w:r>
        <w:rPr>
          <w:rFonts w:ascii="Times New Roman" w:eastAsia="宋体" w:hAnsi="Times New Roman" w:hint="eastAsia"/>
          <w:color w:val="auto"/>
          <w:sz w:val="24"/>
          <w:highlight w:val="none"/>
        </w:rPr>
        <w:fldChar w:fldCharType="end"/>
      </w:r>
      <w:r>
        <w:rPr>
          <w:rFonts w:ascii="Times New Roman" w:eastAsia="宋体" w:hAnsi="Times New Roman" w:hint="eastAsia"/>
          <w:color w:val="auto"/>
          <w:sz w:val="24"/>
          <w:highlight w:val="none"/>
          <w:lang w:val="en-US" w:eastAsia="zh-CN"/>
        </w:rPr>
        <w:t>5G通信基础设施维护</w:t>
      </w:r>
    </w:p>
    <w:p>
      <w:pPr>
        <w:widowControl/>
        <w:spacing w:line="240" w:lineRule="auto"/>
        <w:ind w:left="0" w:firstLine="480"/>
        <w:rPr>
          <w:rFonts w:ascii="Times New Roman" w:eastAsia="宋体" w:hAnsi="Times New Roman" w:hint="eastAsia"/>
          <w:color w:val="auto"/>
          <w:sz w:val="24"/>
          <w:highlight w:val="none"/>
          <w:lang w:val="en-US" w:eastAsia="zh-CN"/>
        </w:rPr>
      </w:pPr>
      <w:r>
        <w:rPr>
          <w:rFonts w:ascii="Times New Roman" w:eastAsia="宋体" w:hAnsi="Times New Roman" w:hint="eastAsia"/>
          <w:color w:val="auto"/>
          <w:sz w:val="24"/>
          <w:highlight w:val="none"/>
          <w:lang w:val="en-US" w:eastAsia="zh-CN"/>
        </w:rPr>
        <w:t>定期维护：</w:t>
      </w:r>
      <w:r>
        <w:rPr>
          <w:rFonts w:ascii="Times New Roman" w:eastAsia="宋体" w:hAnsi="Times New Roman" w:hint="default"/>
          <w:color w:val="auto"/>
          <w:sz w:val="24"/>
          <w:highlight w:val="none"/>
          <w:lang w:val="en-US" w:eastAsia="zh-CN"/>
        </w:rPr>
        <w:t>1</w:t>
      </w:r>
      <w:r>
        <w:rPr>
          <w:rFonts w:ascii="Times New Roman" w:eastAsia="宋体" w:hAnsi="Times New Roman" w:hint="eastAsia"/>
          <w:color w:val="auto"/>
          <w:sz w:val="24"/>
          <w:highlight w:val="none"/>
          <w:lang w:val="en-US" w:eastAsia="zh-CN"/>
        </w:rPr>
        <w:t>、定期对</w:t>
      </w:r>
      <w:r>
        <w:rPr>
          <w:rFonts w:ascii="Times New Roman" w:eastAsia="宋体" w:hAnsi="Times New Roman" w:hint="default"/>
          <w:color w:val="auto"/>
          <w:sz w:val="24"/>
          <w:highlight w:val="none"/>
          <w:lang w:val="en-US" w:eastAsia="zh-CN"/>
        </w:rPr>
        <w:t>5G</w:t>
      </w:r>
      <w:r>
        <w:rPr>
          <w:rFonts w:ascii="Times New Roman" w:eastAsia="宋体" w:hAnsi="Times New Roman" w:hint="eastAsia"/>
          <w:color w:val="auto"/>
          <w:sz w:val="24"/>
          <w:highlight w:val="none"/>
          <w:lang w:val="en-US" w:eastAsia="zh-CN"/>
        </w:rPr>
        <w:t>通信设施进行维护，包括清洁、检查、更换部件等。确保</w:t>
      </w:r>
      <w:r>
        <w:rPr>
          <w:rFonts w:ascii="Times New Roman" w:eastAsia="宋体" w:hAnsi="Times New Roman" w:hint="default"/>
          <w:color w:val="auto"/>
          <w:sz w:val="24"/>
          <w:highlight w:val="none"/>
          <w:lang w:val="en-US" w:eastAsia="zh-CN"/>
        </w:rPr>
        <w:t>5G</w:t>
      </w:r>
      <w:r>
        <w:rPr>
          <w:rFonts w:ascii="Times New Roman" w:eastAsia="宋体" w:hAnsi="Times New Roman" w:hint="eastAsia"/>
          <w:color w:val="auto"/>
          <w:sz w:val="24"/>
          <w:highlight w:val="none"/>
          <w:lang w:val="en-US" w:eastAsia="zh-CN"/>
        </w:rPr>
        <w:t>通信设施的硬件和软件系统保持最佳状态，延长设备使用寿命。</w:t>
      </w:r>
      <w:r>
        <w:rPr>
          <w:rFonts w:ascii="Times New Roman" w:eastAsia="宋体" w:hAnsi="Times New Roman" w:hint="default"/>
          <w:color w:val="auto"/>
          <w:sz w:val="24"/>
          <w:highlight w:val="none"/>
          <w:lang w:val="en-US" w:eastAsia="zh-CN"/>
        </w:rPr>
        <w:t>2</w:t>
      </w:r>
      <w:r>
        <w:rPr>
          <w:rFonts w:ascii="Times New Roman" w:eastAsia="宋体" w:hAnsi="Times New Roman" w:hint="eastAsia"/>
          <w:color w:val="auto"/>
          <w:sz w:val="24"/>
          <w:highlight w:val="none"/>
          <w:lang w:val="en-US" w:eastAsia="zh-CN"/>
        </w:rPr>
        <w:t>、检查塔基：确保塔基稳固，无松动或下沉现象。如果塔基存在问题，需要进行加固或更换。检查塔身是否有破损、变形或其他损坏，如果发现塔身存在问题，需要进行修复或更换。检查自然灾害防御系统：确保自然灾害防御系统可以正常工作，包括防雷和防水等措施。检查维护记录：确保铁塔维护记录及时、准确，包括维护计划、维护记录和维护人员等信息。铁塔维护是保证通信设备正常运行和安全生产的重要工作，需要定期进行。</w:t>
      </w:r>
    </w:p>
    <w:p>
      <w:pPr>
        <w:widowControl/>
        <w:spacing w:line="240" w:lineRule="auto"/>
        <w:ind w:left="0" w:firstLine="480"/>
        <w:rPr>
          <w:rFonts w:ascii="Times New Roman" w:eastAsia="宋体" w:hAnsi="Times New Roman" w:hint="eastAsia"/>
          <w:color w:val="auto"/>
          <w:sz w:val="24"/>
          <w:highlight w:val="none"/>
          <w:lang w:val="en-US" w:eastAsia="zh-CN"/>
        </w:rPr>
      </w:pPr>
      <w:r>
        <w:rPr>
          <w:rFonts w:ascii="Times New Roman" w:eastAsia="宋体" w:hAnsi="Times New Roman" w:hint="eastAsia"/>
          <w:color w:val="auto"/>
          <w:sz w:val="24"/>
          <w:highlight w:val="none"/>
          <w:lang w:val="en-US" w:eastAsia="zh-CN"/>
        </w:rPr>
        <w:t>故障排除：及时发现和处理设施故障，确保网络正常运行。维护人员具备故障排查和修复技能，能够快速解决各种问题。</w:t>
      </w:r>
    </w:p>
    <w:p>
      <w:pPr>
        <w:widowControl/>
        <w:spacing w:line="240" w:lineRule="auto"/>
        <w:ind w:left="0" w:firstLine="480"/>
        <w:rPr>
          <w:rFonts w:ascii="Times New Roman" w:eastAsia="宋体" w:hAnsi="Times New Roman" w:hint="eastAsia"/>
          <w:color w:val="auto"/>
          <w:sz w:val="24"/>
          <w:highlight w:val="none"/>
          <w:lang w:val="en-US" w:eastAsia="zh-CN"/>
        </w:rPr>
      </w:pPr>
      <w:r>
        <w:rPr>
          <w:rFonts w:ascii="Times New Roman" w:eastAsia="宋体" w:hAnsi="Times New Roman" w:hint="eastAsia"/>
          <w:color w:val="auto"/>
          <w:sz w:val="24"/>
          <w:highlight w:val="none"/>
          <w:lang w:val="en-US" w:eastAsia="zh-CN"/>
        </w:rPr>
        <w:t>应急响应：制定应急预案，以便在发生突发事件时能够迅速响应。包括人员、物资和技术的准备，确保在紧急情况下能够迅速恢复网络运行。</w:t>
      </w:r>
    </w:p>
    <w:p>
      <w:pPr>
        <w:spacing w:line="240" w:lineRule="auto"/>
        <w:ind w:left="0" w:firstLine="422"/>
        <w:rPr>
          <w:rFonts w:ascii="Times New Roman" w:eastAsia="宋体" w:hAnsi="Times New Roman"/>
          <w:b/>
          <w:color w:val="auto"/>
          <w:highlight w:val="none"/>
        </w:rPr>
      </w:pPr>
    </w:p>
    <w:p>
      <w:pPr>
        <w:widowControl/>
        <w:spacing w:line="240" w:lineRule="auto"/>
        <w:ind w:left="0" w:firstLine="0" w:firstLineChars="0"/>
        <w:jc w:val="left"/>
        <w:rPr>
          <w:rFonts w:ascii="Times New Roman" w:eastAsia="宋体" w:hAnsi="Times New Roman"/>
          <w:b/>
          <w:color w:val="auto"/>
          <w:sz w:val="32"/>
          <w:szCs w:val="32"/>
          <w:highlight w:val="none"/>
        </w:rPr>
      </w:pPr>
      <w:r>
        <w:rPr>
          <w:rFonts w:ascii="Times New Roman" w:eastAsia="宋体" w:hAnsi="Times New Roman"/>
          <w:color w:val="auto"/>
          <w:sz w:val="32"/>
          <w:szCs w:val="32"/>
          <w:highlight w:val="none"/>
        </w:rPr>
        <w:br w:type="page"/>
      </w:r>
    </w:p>
    <w:p>
      <w:pPr>
        <w:pStyle w:val="Heading2"/>
        <w:spacing w:before="260" w:after="260" w:line="240" w:lineRule="auto"/>
        <w:ind w:left="0" w:firstLine="643"/>
        <w:rPr>
          <w:rFonts w:ascii="Times New Roman" w:eastAsia="宋体" w:hAnsi="Times New Roman"/>
          <w:color w:val="auto"/>
          <w:sz w:val="32"/>
          <w:szCs w:val="32"/>
          <w:highlight w:val="none"/>
        </w:rPr>
      </w:pPr>
      <w:bookmarkStart w:id="90" w:name="_Toc8681"/>
      <w:r>
        <w:rPr>
          <w:rFonts w:ascii="Times New Roman" w:eastAsia="宋体" w:hAnsi="Times New Roman" w:hint="eastAsia"/>
          <w:color w:val="auto"/>
          <w:sz w:val="32"/>
          <w:szCs w:val="32"/>
          <w:highlight w:val="none"/>
        </w:rPr>
        <w:t>第十</w:t>
      </w:r>
      <w:r>
        <w:rPr>
          <w:rFonts w:ascii="Times New Roman" w:eastAsia="宋体" w:hAnsi="Times New Roman" w:hint="eastAsia"/>
          <w:color w:val="auto"/>
          <w:sz w:val="32"/>
          <w:szCs w:val="32"/>
          <w:highlight w:val="none"/>
          <w:lang w:val="en-US" w:eastAsia="zh-CN"/>
        </w:rPr>
        <w:t>五</w:t>
      </w:r>
      <w:r>
        <w:rPr>
          <w:rFonts w:ascii="Times New Roman" w:eastAsia="宋体" w:hAnsi="Times New Roman" w:hint="eastAsia"/>
          <w:color w:val="auto"/>
          <w:sz w:val="32"/>
          <w:szCs w:val="32"/>
          <w:highlight w:val="none"/>
        </w:rPr>
        <w:t>章 支撑</w:t>
      </w:r>
      <w:r>
        <w:rPr>
          <w:rFonts w:ascii="Times New Roman" w:eastAsia="宋体" w:hAnsi="Times New Roman"/>
          <w:color w:val="auto"/>
          <w:sz w:val="32"/>
          <w:szCs w:val="32"/>
          <w:highlight w:val="none"/>
        </w:rPr>
        <w:t>保障规划</w:t>
      </w:r>
      <w:bookmarkEnd w:id="90"/>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各区县、各部门必须采取有效措施，强化组织、制度、政策、宣传和考核等方面的保障，确保本规划的各项奋斗目标顺利实现。</w:t>
      </w:r>
    </w:p>
    <w:p>
      <w:pPr>
        <w:pStyle w:val="Heading3"/>
        <w:spacing w:line="240" w:lineRule="auto"/>
        <w:ind w:left="0" w:firstLine="482"/>
        <w:rPr>
          <w:rFonts w:ascii="Times New Roman" w:eastAsia="宋体" w:hAnsi="Times New Roman" w:cstheme="majorEastAsia"/>
          <w:color w:val="auto"/>
          <w:sz w:val="24"/>
          <w:szCs w:val="24"/>
          <w:highlight w:val="none"/>
        </w:rPr>
      </w:pPr>
      <w:bookmarkStart w:id="91" w:name="_Toc5864"/>
      <w:r>
        <w:rPr>
          <w:rFonts w:ascii="Times New Roman" w:eastAsia="宋体" w:hAnsi="Times New Roman" w:cstheme="majorEastAsia" w:hint="eastAsia"/>
          <w:color w:val="auto"/>
          <w:sz w:val="24"/>
          <w:szCs w:val="24"/>
          <w:highlight w:val="none"/>
        </w:rPr>
        <w:t>一、加强组织保障</w:t>
      </w:r>
      <w:bookmarkEnd w:id="91"/>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建立决策科学、运行有效、职责明确的领导体制和工作机制，制定和实施全市通信基础设施建设行动计划，督促和推动通信基础设施重点工程建设，协调解决通信基础设施建设和运营中的问题。组建通信基础设施建设专家咨询委员会，在制定发展规划、重点工程项目方案评审和通信基础设施建设成果鉴定等方面发挥作用。</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强化</w:t>
      </w:r>
      <w:r>
        <w:rPr>
          <w:rFonts w:ascii="Times New Roman" w:eastAsia="宋体" w:hAnsi="Times New Roman" w:hint="eastAsia"/>
          <w:color w:val="auto"/>
          <w:sz w:val="24"/>
          <w:highlight w:val="none"/>
          <w:lang w:val="en-US" w:eastAsia="zh-CN"/>
        </w:rPr>
        <w:t>自然资源</w:t>
      </w:r>
      <w:r>
        <w:rPr>
          <w:rFonts w:ascii="Times New Roman" w:eastAsia="宋体" w:hAnsi="Times New Roman" w:hint="eastAsia"/>
          <w:color w:val="auto"/>
          <w:sz w:val="24"/>
          <w:highlight w:val="none"/>
        </w:rPr>
        <w:t>局作为市政规划主管部门在通信基础设施建设中的统领作用。发挥其统筹规划、科学管理和宏观调控职能，对全市通信基础设施建设进行统一规划。</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《广西玉林市5G通信基础设施专项规划</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lang w:val="en-US" w:eastAsia="zh-CN"/>
        </w:rPr>
        <w:t>2021-2035年</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》是由自治区通信管理局、基础电信运营企业及铁塔公司组织，依据《玉林市国土空间总体规划（2021-2035年）》编制，报玉林市人民政府审批。</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本规划是保障玉林市5G通信基础设施规划和建设协调发展的重要措施，应纳入同级国土空间规划，编制控制性详细规划时将通信基础设施予以落实，在地块出让规划条件中予以明确。</w:t>
      </w:r>
    </w:p>
    <w:p>
      <w:pPr>
        <w:pStyle w:val="Heading3"/>
        <w:spacing w:line="240" w:lineRule="auto"/>
        <w:ind w:left="0" w:firstLine="482"/>
        <w:rPr>
          <w:rFonts w:ascii="Times New Roman" w:eastAsia="宋体" w:hAnsi="Times New Roman" w:cstheme="majorEastAsia"/>
          <w:color w:val="auto"/>
          <w:sz w:val="24"/>
          <w:szCs w:val="24"/>
          <w:highlight w:val="none"/>
        </w:rPr>
      </w:pPr>
      <w:bookmarkStart w:id="92" w:name="_Toc906"/>
      <w:r>
        <w:rPr>
          <w:rFonts w:ascii="Times New Roman" w:eastAsia="宋体" w:hAnsi="Times New Roman" w:cstheme="majorEastAsia" w:hint="eastAsia"/>
          <w:color w:val="auto"/>
          <w:sz w:val="24"/>
          <w:szCs w:val="24"/>
          <w:highlight w:val="none"/>
        </w:rPr>
        <w:t>二、政策扶持</w:t>
      </w:r>
      <w:bookmarkEnd w:id="92"/>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贯彻落实国家、省推进信息化与通信基础设施建设的政策法规，制定出台具有</w:t>
      </w:r>
      <w:r>
        <w:rPr>
          <w:rFonts w:ascii="Times New Roman" w:eastAsia="宋体" w:hAnsi="Times New Roman" w:hint="eastAsia"/>
          <w:color w:val="auto"/>
          <w:sz w:val="24"/>
          <w:highlight w:val="none"/>
          <w:lang w:val="en-US" w:eastAsia="zh-CN"/>
        </w:rPr>
        <w:t>玉林市</w:t>
      </w:r>
      <w:r>
        <w:rPr>
          <w:rFonts w:ascii="Times New Roman" w:eastAsia="宋体" w:hAnsi="Times New Roman" w:hint="eastAsia"/>
          <w:color w:val="auto"/>
          <w:sz w:val="24"/>
          <w:highlight w:val="none"/>
        </w:rPr>
        <w:t>区域特色的通信基础设施建设管理、信息化和工业化融合、通信市场监管和知识产权保护等相关配套政策法规，健全全县通信基础设施发展的行政管理规范。</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各级规划部门要将通信基础设施建设规划纳入</w:t>
      </w:r>
      <w:r>
        <w:rPr>
          <w:rFonts w:ascii="Times New Roman" w:eastAsia="宋体" w:hAnsi="Times New Roman" w:hint="eastAsia"/>
          <w:color w:val="auto"/>
          <w:sz w:val="24"/>
          <w:highlight w:val="none"/>
          <w:lang w:val="en-US" w:eastAsia="zh-CN"/>
        </w:rPr>
        <w:t>国土空间</w:t>
      </w:r>
      <w:r>
        <w:rPr>
          <w:rFonts w:ascii="Times New Roman" w:eastAsia="宋体" w:hAnsi="Times New Roman" w:hint="eastAsia"/>
          <w:color w:val="auto"/>
          <w:sz w:val="24"/>
          <w:highlight w:val="none"/>
        </w:rPr>
        <w:t>规划，实现与国民经济和社会发展规划等其他规划的有效衔接与同步实施，依据市人民政府批复的通信基础设施规划，保障信息通信基础设施建设用地。将乡、镇与各通信企业签订的战略合作框架协议及所涉及的通信楼、光缆、基站等建设项目纳入</w:t>
      </w:r>
      <w:r>
        <w:rPr>
          <w:rFonts w:ascii="Times New Roman" w:eastAsia="宋体" w:hAnsi="Times New Roman" w:hint="eastAsia"/>
          <w:color w:val="auto"/>
          <w:sz w:val="24"/>
          <w:highlight w:val="none"/>
          <w:lang w:val="en-US" w:eastAsia="zh-CN"/>
        </w:rPr>
        <w:t>国土空间规划</w:t>
      </w:r>
      <w:r>
        <w:rPr>
          <w:rFonts w:ascii="Times New Roman" w:eastAsia="宋体" w:hAnsi="Times New Roman" w:hint="eastAsia"/>
          <w:color w:val="auto"/>
          <w:sz w:val="24"/>
          <w:highlight w:val="none"/>
        </w:rPr>
        <w:t>等统筹安排。建立健全通信设施与大型公用设施建设统一规划、同步建设制度。</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完善通信基础设施建设用地和通信传输光缆、线路的保护制度，避免市政改造造成已有基础设施</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如管线、基站、局房等</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的浪费，规范市政建设对信息通信基础设施破损等的赔补。在城市建设规划中充分考虑信息通信基础设施重建，对被拆设施</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站点、传输等</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给予政策支持，保障新站建设顺利实施，确保拆一还一，保障用户通信质量。</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坚持“服务、规范、调整、提高”的工作方针，制定落实通信基础设施市场竞争制度。按照用户自由选择、企业公平接入、资源共建共享的原则，进一步规范通信基础设施建设，完善通信管线和用户接入资源的共享机制。积极推进三网融合和优化整合，发挥各种网络资源的比较优势，避免重复建设。加强新技术、新业务创新的引导，对新技术和新业务带来的影响进行科学评估与研究。</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市</w:t>
      </w:r>
      <w:r>
        <w:rPr>
          <w:rFonts w:ascii="Times New Roman" w:eastAsia="宋体" w:hAnsi="Times New Roman" w:hint="eastAsia"/>
          <w:color w:val="auto"/>
          <w:sz w:val="24"/>
          <w:highlight w:val="none"/>
          <w:lang w:val="en-US" w:eastAsia="zh-CN"/>
        </w:rPr>
        <w:t>人民政府</w:t>
      </w:r>
      <w:r>
        <w:rPr>
          <w:rFonts w:ascii="Times New Roman" w:eastAsia="宋体" w:hAnsi="Times New Roman" w:hint="eastAsia"/>
          <w:color w:val="auto"/>
          <w:sz w:val="24"/>
          <w:highlight w:val="none"/>
        </w:rPr>
        <w:t>牵头组织相关部门出台相应5G网络建设的扶持政策，如开放公共设施资源、简化审批手续、局房储备、供电设施引入、降低用电成本、5G基站用电等出台相应的优惠政策，以支持5G网络的快速部署。</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将5G网络建设、技术创新、产业孵化发展和示范应用纳入各区、县有关资金支持范围，重点支持纳入国家重大项目库和自治区统筹推进的通信基础设施重大项目。</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高速公路管孔租赁费用降低，减轻企业费用负担。建议降低或免除高速公路施工占道费及高速公路管道引接等费用，简化高速公路通信管道安全评估环节及相关手续。</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降低市政管道购买、租赁费用，取消对电信企业城区内新建管道报建限制，简化报建流程、降低报建费用，电信企业将在城区挖掘、建设通信管道时按照市政管理部门的标准及要求做好道路路面修复工作。</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出台相关乡镇农村道路、农田、林地等区域配合新建通信杆路、光缆敷设等通信基础设施建设的指导意见，严禁无故阻挠施工、收取不合理费用等情况。</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对在桥梁外侧采用桥挂钢管或硅芯管方式建设过桥管道，电信企业严格按相关标准、规范施工，对桥梁结构及安全不会产生任何影响，市政及桥梁管理部门应缩短报建审批流程，降低占道掘路、过桥报建等费用，简化桥梁安全评估环节及手续。</w:t>
      </w:r>
    </w:p>
    <w:p>
      <w:pPr>
        <w:pStyle w:val="Heading3"/>
        <w:spacing w:line="240" w:lineRule="auto"/>
        <w:ind w:left="0" w:firstLine="482"/>
        <w:rPr>
          <w:rFonts w:ascii="Times New Roman" w:eastAsia="宋体" w:hAnsi="Times New Roman" w:cstheme="majorEastAsia"/>
          <w:color w:val="auto"/>
          <w:sz w:val="24"/>
          <w:szCs w:val="24"/>
          <w:highlight w:val="none"/>
        </w:rPr>
      </w:pPr>
      <w:bookmarkStart w:id="93" w:name="_Toc18549"/>
      <w:r>
        <w:rPr>
          <w:rFonts w:ascii="Times New Roman" w:eastAsia="宋体" w:hAnsi="Times New Roman" w:cstheme="majorEastAsia" w:hint="eastAsia"/>
          <w:color w:val="auto"/>
          <w:sz w:val="24"/>
          <w:szCs w:val="24"/>
          <w:highlight w:val="none"/>
        </w:rPr>
        <w:t>三、优化行业发展环境</w:t>
      </w:r>
      <w:bookmarkEnd w:id="93"/>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各区县、各部门要进一步加强协调配合，不断优化通信基础设施建设与发展的社会环境。</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规划、建设部门要将通信配套设施纳入小区建设规划审查范围，将通信配套设施纳入新建项目的竣工验收范围，加快审核通信楼、基站站址和通信光缆等通信基础设施规划设计方案。国土资源部门对符合用地预审和土地征收等条件的通信基础设施建设项目，要尽快办理用地手续。交通、铁路部门要及时审批在公路、铁路、客运站等控制区内埋设管线、架设光电缆及通信基站等设施的申请。</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生态环境主管部门依法对通信基站实行环境影响登记表备案管理，并配合铁塔公司和各运营商开展通信基站的科普宣传，正确引导公众关于通信基站的认识。通信企业在各区县辖区内旅游景区的通信基础设施在项目规划、勘察设计前，应向当地旅游管理部门提出书面申请。旅游管理部门应提高审批效率，对符合规划、手续齐全的通信基础设施建设项目给予支持，为基站的选址、建设和运营创造条件。无线电管理部门要在国家政策框架下依法简化程序，及时审批基站建设所需的无线电频率资源。公安部门要依法严厉惩处各类干扰破坏通信基础设施建设的行为。</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供电企业要切实保障通信基础设施建设项目的电力供应，对通信电力工程建设给予最大限度支持，对用电性质相同、共建共享的通信企业共用电源，应视为非转供电并给予支持。各建筑设计单位、开发企业要按照（原）信息产业部、建设部发布的《关于进一步规范住宅小区及商住楼通信管线及通信设施建设的通知》信部联规〔2007〕24号文件精神进行设计施工和建设，满足各通信运营企业宽带业务、驻地网等接入要求。</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建设单位在铁路、公路、政府投资的公共基础设施以及城市道路拓宽改造工程的项目规划、勘察设计前，应书面征求通信企业投资同步建设需求，通信企业要积极配合，做到同步实施、协调发展。</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各通信企业应超前规划、共建共享通信基站，避免单独、分散、滞后建站。各级政府要帮助企业解决影响基站选址、管线敷设等问题，有关部门要率先开放机关、国有企事业单位、高校园区、公共场所、公共设施</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绿地、灯杆等</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、车站等所属建筑物，支持通信光缆、基站以及室内分布系统等信息通信基础设施的建设。</w:t>
      </w:r>
    </w:p>
    <w:p>
      <w:pPr>
        <w:pStyle w:val="Heading3"/>
        <w:spacing w:line="240" w:lineRule="auto"/>
        <w:ind w:left="0" w:firstLine="482"/>
        <w:rPr>
          <w:rFonts w:ascii="Times New Roman" w:eastAsia="宋体" w:hAnsi="Times New Roman" w:cstheme="majorEastAsia"/>
          <w:color w:val="auto"/>
          <w:sz w:val="24"/>
          <w:szCs w:val="24"/>
          <w:highlight w:val="none"/>
        </w:rPr>
      </w:pPr>
      <w:bookmarkStart w:id="94" w:name="_Toc20530"/>
      <w:r>
        <w:rPr>
          <w:rFonts w:ascii="Times New Roman" w:eastAsia="宋体" w:hAnsi="Times New Roman" w:cstheme="majorEastAsia" w:hint="eastAsia"/>
          <w:color w:val="auto"/>
          <w:sz w:val="24"/>
          <w:szCs w:val="24"/>
          <w:highlight w:val="none"/>
        </w:rPr>
        <w:t>四、建立健全多元化投融资机制</w:t>
      </w:r>
      <w:bookmarkEnd w:id="94"/>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加大政府对信息化和通信基础设施建设的投入，高质量、高效率地推进一批全局性、基础性、公益性、示范性的重大工程。加强对政府投入资金的管理、监督和审计，保证项目的公开、透明和有效性。</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完善通信基础设施建设的投融资机制和管理模式，逐步形成“运营商公平接入、用户自由选择”的市场格局。积极探索信息化和通信基础设施建设项目产业化、市场化运作模式，广泛吸纳社会资本。加大招商引资力度，吸纳外来企业来</w:t>
      </w:r>
      <w:r>
        <w:rPr>
          <w:rFonts w:ascii="Times New Roman" w:eastAsia="宋体" w:hAnsi="Times New Roman" w:hint="eastAsia"/>
          <w:color w:val="auto"/>
          <w:sz w:val="24"/>
          <w:highlight w:val="none"/>
          <w:lang w:val="en-US" w:eastAsia="zh-CN"/>
        </w:rPr>
        <w:t>玉林</w:t>
      </w:r>
      <w:r>
        <w:rPr>
          <w:rFonts w:ascii="Times New Roman" w:eastAsia="宋体" w:hAnsi="Times New Roman" w:hint="eastAsia"/>
          <w:color w:val="auto"/>
          <w:sz w:val="24"/>
          <w:highlight w:val="none"/>
        </w:rPr>
        <w:t xml:space="preserve">投资通信基础设施建设，并通过他们的投资示范作用，带动民间资本、私营企业参与建设。此外，全面引入有利于基础通信网络运营商竞争、联合和发展的激励机制，充分发挥社会各方面的力量参与信息化和通信基础设施的建设与运营；引导、规范中国移动、中国联通、中国电信等运营商对政府依法开放的信息资源进行增值开发，允许其利用所得来回收投资、补偿成本并获得回报。 </w:t>
      </w:r>
    </w:p>
    <w:p>
      <w:pPr>
        <w:pStyle w:val="Heading3"/>
        <w:spacing w:line="240" w:lineRule="auto"/>
        <w:ind w:left="0" w:firstLine="482"/>
        <w:rPr>
          <w:rFonts w:ascii="Times New Roman" w:eastAsia="宋体" w:hAnsi="Times New Roman" w:cstheme="majorEastAsia"/>
          <w:color w:val="auto"/>
          <w:sz w:val="24"/>
          <w:szCs w:val="24"/>
          <w:highlight w:val="none"/>
        </w:rPr>
      </w:pPr>
      <w:bookmarkStart w:id="95" w:name="_Toc4274"/>
      <w:r>
        <w:rPr>
          <w:rFonts w:ascii="Times New Roman" w:eastAsia="宋体" w:hAnsi="Times New Roman" w:cstheme="majorEastAsia" w:hint="eastAsia"/>
          <w:color w:val="auto"/>
          <w:sz w:val="24"/>
          <w:szCs w:val="24"/>
          <w:highlight w:val="none"/>
        </w:rPr>
        <w:t>五、营造良好舆论氛围</w:t>
      </w:r>
      <w:bookmarkEnd w:id="95"/>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通信基础设施宣传工作是优化通信基础设施建设发展环境的重要内容。工信、宣传等部门要将通信基础设施宣传工作列入重要工作内容，深入宣传贯彻党中央、国务院和省、市有关信息化和通信基础设施建设发展的方针政策，及时准确反映全市信息化和通信基础设施建设工作情况。要准确把握新形势下信息化和通信基础设施建设宣传工作的特点和规律，不断创新信息化和通信基础设施建设宣传的方式和方法。要加强舆论引导，加大对信息通信基础设施相关知识的宣传普及力度，积极推进通信知识进农村、学校、企业、社区活动，消除公众对基站、广播电视发射塔电磁辐射的片面认识，推动全社会对通信基础设施建设工作的关注、支持和参与，努力营造全社会共同支持信息通信基础设施建设的良好氛围。</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具体措施建议如下：</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1）形成常态化宣传机制。铁塔公司、各运营商企业派出电磁辐射专家共同组建了课题组，负责日常科普知识宣传。结合“五一”、“5.17”电信日、“6.5”世界环境日等重要节日，开展电磁辐射科普宣传活动，着力提升广大人民群众对电磁辐射的认知度，化解市民通信需求与基站建设之间的矛盾。各乡（镇）、街道、社区届时也将结合开展相关宣传活动，形成联动宣传的局面。</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2）有效解决社会大众对基站辐射的恐慌。在环保意识、健康意识日益提高的今天，移动通信基站的电磁辐射问题受到老百姓的关注。人们在享受移动通信带来极大便利的同时，对通信基站电磁辐射也心存疑虑甚至恐惧，以致“谈辐色变”。而大众层面的普遍化宣传，正是有效解决人们恐慌心理的具体举措，引导科学看待电磁辐射，逐步消除不必要的误解。</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3）聚焦“选址难”社区，营造舆论氛围。进社区活动优先选择“选址难”的老小区，而主要宣传对象为观念相对落后的中老年人群，特别在这个老龄化加剧到来的时代，如何消除老年人对通信基站辐射认识误区。可通过课题组现场授课方式，由授课讲师现场用便携式辐射监测仪器对家用电器、手机和移动基站的辐射情况进行了对比测试，结合视频和宣传册，让参与人员科学认识了电磁辐射，消除了困惑。</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电磁辐射宣传是一项长期的系统工程，铁塔公司和各运营商需持续与政府部门加强合作，共同引导正面积极的社会舆论，让老百姓对基站辐射有更加正确、科学、客观、全面的认识，推动社区选址难问题的破解。</w:t>
      </w:r>
    </w:p>
    <w:p>
      <w:pPr>
        <w:pStyle w:val="Heading3"/>
        <w:spacing w:line="240" w:lineRule="auto"/>
        <w:ind w:left="0" w:firstLine="482"/>
        <w:rPr>
          <w:rFonts w:ascii="Times New Roman" w:eastAsia="宋体" w:hAnsi="Times New Roman" w:cstheme="majorEastAsia"/>
          <w:color w:val="auto"/>
          <w:sz w:val="24"/>
          <w:szCs w:val="24"/>
          <w:highlight w:val="none"/>
        </w:rPr>
      </w:pPr>
      <w:bookmarkStart w:id="96" w:name="_Toc30327"/>
      <w:r>
        <w:rPr>
          <w:rFonts w:ascii="Times New Roman" w:eastAsia="宋体" w:hAnsi="Times New Roman" w:cstheme="majorEastAsia" w:hint="eastAsia"/>
          <w:color w:val="auto"/>
          <w:sz w:val="24"/>
          <w:szCs w:val="24"/>
          <w:highlight w:val="none"/>
        </w:rPr>
        <w:t>六、加强通信安全体系建设</w:t>
      </w:r>
      <w:bookmarkEnd w:id="96"/>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按照“积极防御，综合防范”的方针，推进通信基础设施建设安全保障体系建设。各相关部门和通信企业要加强通信基础设施建设安全制度和技术体系建设。制定通信安全管理办法和建设标准，细化实现通信安全总体目标中必须落实的各项安全要求。加大对通信基础设施重要节点的安全防护力度。任何组织、个人对经批准建设的通信线路、基站及其他通信基础设施，不得擅自改动或迁移。需要对已有通信基础设施进行改动或迁移的，应事先组织通信企业参与施工方案会审。施工单位应严格执行施工规范，确保各通信运营企业在重要节点和路段的通信基础设施安全。</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各级政府要建立健全通信基础设施安全应急反应及处置机制。开展信息和通信基础设施安全教育，依靠、发动社会各方面力量，建立完善通信基础设施安全防护体系，确保全市通信网络安全畅通，确保国家和人民生命财产的安全，维护政治、经济和社会稳定。</w:t>
      </w:r>
    </w:p>
    <w:p>
      <w:pPr>
        <w:pStyle w:val="Heading3"/>
        <w:spacing w:line="240" w:lineRule="auto"/>
        <w:ind w:left="0" w:firstLine="482"/>
        <w:rPr>
          <w:rFonts w:ascii="Times New Roman" w:eastAsia="宋体" w:hAnsi="Times New Roman" w:cstheme="majorEastAsia"/>
          <w:color w:val="auto"/>
          <w:sz w:val="24"/>
          <w:szCs w:val="24"/>
          <w:highlight w:val="none"/>
        </w:rPr>
      </w:pPr>
      <w:bookmarkStart w:id="97" w:name="_Toc1033"/>
      <w:r>
        <w:rPr>
          <w:rFonts w:ascii="Times New Roman" w:eastAsia="宋体" w:hAnsi="Times New Roman" w:cstheme="majorEastAsia" w:hint="eastAsia"/>
          <w:color w:val="auto"/>
          <w:sz w:val="24"/>
          <w:szCs w:val="24"/>
          <w:highlight w:val="none"/>
        </w:rPr>
        <w:t>七、进行考核评估体系建设</w:t>
      </w:r>
      <w:bookmarkEnd w:id="97"/>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制定科学合理的通信基础设施建设统计指标体系，将各乡</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镇</w:t>
      </w:r>
      <w:r>
        <w:rPr>
          <w:rFonts w:ascii="Times New Roman" w:eastAsia="宋体" w:hAnsi="Times New Roman" w:hint="eastAsia"/>
          <w:color w:val="auto"/>
          <w:sz w:val="24"/>
          <w:highlight w:val="none"/>
          <w:lang w:eastAsia="zh-CN"/>
        </w:rPr>
        <w:t>）</w:t>
      </w:r>
      <w:r>
        <w:rPr>
          <w:rFonts w:ascii="Times New Roman" w:eastAsia="宋体" w:hAnsi="Times New Roman" w:hint="eastAsia"/>
          <w:color w:val="auto"/>
          <w:sz w:val="24"/>
          <w:highlight w:val="none"/>
        </w:rPr>
        <w:t>通信基础设施建设工作目标考核纳入市委、市政府年度目标管理责任制考核范围。</w:t>
      </w:r>
    </w:p>
    <w:p>
      <w:pPr>
        <w:widowControl/>
        <w:spacing w:line="240" w:lineRule="auto"/>
        <w:ind w:left="0" w:firstLine="480"/>
        <w:rPr>
          <w:rFonts w:ascii="Times New Roman" w:eastAsia="宋体" w:hAnsi="Times New Roman"/>
          <w:color w:val="auto"/>
          <w:sz w:val="24"/>
          <w:highlight w:val="none"/>
        </w:rPr>
      </w:pPr>
      <w:r>
        <w:rPr>
          <w:rFonts w:ascii="Times New Roman" w:eastAsia="宋体" w:hAnsi="Times New Roman" w:hint="eastAsia"/>
          <w:color w:val="auto"/>
          <w:sz w:val="24"/>
          <w:highlight w:val="none"/>
        </w:rPr>
        <w:t>不断改进目标考核评估方法，把目标考核作为推进通信基础设施建设工作的重要保障措施。研究制订通信企业绩效评价指标体系，加强对涉及国计民生的通信基础设施安全考核，评选表彰通信基础设施建设先进企业。切实通过加强绩效考核工作，促进通信基础设施建设责任与权利紧密结合，建立健全通信基础设施建设激励约束机制。</w:t>
      </w:r>
    </w:p>
    <w:p>
      <w:pPr>
        <w:widowControl/>
        <w:spacing w:line="240" w:lineRule="auto"/>
        <w:ind w:left="0" w:firstLine="0" w:firstLineChars="0"/>
        <w:rPr>
          <w:rFonts w:ascii="Times New Roman" w:eastAsia="宋体" w:hAnsi="Times New Roman"/>
          <w:color w:val="auto"/>
          <w:sz w:val="24"/>
          <w:highlight w:val="none"/>
        </w:rPr>
        <w:sectPr>
          <w:footerReference w:type="default" r:id="rId49"/>
          <w:headerReference w:type="first" r:id="rId50"/>
          <w:footerReference w:type="first" r:id="rId51"/>
          <w:pgSz w:w="23814" w:h="16839" w:orient="landscape"/>
          <w:pgMar w:top="1797" w:right="1440" w:bottom="1797" w:left="1440" w:header="851" w:footer="992" w:gutter="0"/>
          <w:pgNumType w:fmt="decimal"/>
          <w:cols w:num="2" w:space="630"/>
          <w:titlePg/>
          <w:docGrid w:type="lines" w:linePitch="286" w:charSpace="0"/>
        </w:sectPr>
      </w:pPr>
    </w:p>
    <w:p>
      <w:pPr>
        <w:pStyle w:val="Heading2"/>
        <w:spacing w:before="260" w:after="260" w:line="240" w:lineRule="auto"/>
        <w:ind w:left="0" w:firstLine="643"/>
        <w:rPr>
          <w:rFonts w:ascii="Times New Roman" w:eastAsia="宋体" w:hAnsi="Times New Roman" w:hint="eastAsia"/>
          <w:color w:val="auto"/>
          <w:sz w:val="32"/>
          <w:szCs w:val="32"/>
          <w:highlight w:val="none"/>
          <w:lang w:val="en-US" w:eastAsia="zh-CN"/>
        </w:rPr>
      </w:pPr>
      <w:bookmarkStart w:id="98" w:name="_Toc16546"/>
      <w:r>
        <w:rPr>
          <w:rFonts w:ascii="Times New Roman" w:eastAsia="宋体" w:hAnsi="Times New Roman" w:hint="eastAsia"/>
          <w:color w:val="auto"/>
          <w:sz w:val="32"/>
          <w:szCs w:val="32"/>
          <w:highlight w:val="none"/>
          <w:lang w:val="en-US" w:eastAsia="zh-CN"/>
        </w:rPr>
        <w:t>附  录</w:t>
      </w:r>
      <w:bookmarkEnd w:id="98"/>
    </w:p>
    <w:p>
      <w:pPr>
        <w:pStyle w:val="Heading3"/>
        <w:spacing w:line="240" w:lineRule="auto"/>
        <w:ind w:left="0" w:firstLine="482"/>
        <w:rPr>
          <w:rFonts w:ascii="Times New Roman" w:eastAsia="宋体" w:hAnsi="Times New Roman" w:cstheme="majorEastAsia" w:hint="default"/>
          <w:color w:val="auto"/>
          <w:sz w:val="24"/>
          <w:szCs w:val="24"/>
          <w:highlight w:val="none"/>
          <w:lang w:val="en-US" w:eastAsia="zh-CN"/>
        </w:rPr>
      </w:pPr>
      <w:bookmarkStart w:id="99" w:name="_Toc13589"/>
      <w:r>
        <w:rPr>
          <w:rFonts w:ascii="Times New Roman" w:eastAsia="宋体" w:hAnsi="Times New Roman" w:cstheme="majorEastAsia" w:hint="eastAsia"/>
          <w:color w:val="auto"/>
          <w:sz w:val="24"/>
          <w:szCs w:val="24"/>
          <w:highlight w:val="none"/>
          <w:lang w:val="en-US" w:eastAsia="zh-CN"/>
        </w:rPr>
        <w:t>名词解释</w:t>
      </w:r>
      <w:bookmarkEnd w:id="99"/>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lang w:val="en-US" w:eastAsia="zh-CN"/>
        </w:rPr>
        <w:t>1</w:t>
      </w:r>
      <w:r>
        <w:rPr>
          <w:rFonts w:ascii="Times New Roman" w:eastAsia="宋体" w:hAnsi="Times New Roman" w:hint="eastAsia"/>
          <w:color w:val="auto"/>
          <w:sz w:val="24"/>
          <w:highlight w:val="none"/>
        </w:rPr>
        <w:t>、三网融合：是指广播电视网、电信网与互联网的融合，其中互联网是核心。从实现方式上看，三网融合一种是指相同的服务和内容既可在广电网又可在电信网上被提供；另一种是广播电视网与电信网配合，从而实现业务融合，例如前者负责视频广播，后者承载互动功能。</w:t>
      </w: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lang w:val="en-US" w:eastAsia="zh-CN"/>
        </w:rPr>
        <w:t>2</w:t>
      </w:r>
      <w:r>
        <w:rPr>
          <w:rFonts w:ascii="Times New Roman" w:eastAsia="宋体" w:hAnsi="Times New Roman" w:hint="eastAsia"/>
          <w:color w:val="auto"/>
          <w:sz w:val="24"/>
          <w:highlight w:val="none"/>
        </w:rPr>
        <w:t>、智慧城市：Smart City，智慧城市是把新一代信息技术充分运用在城市中各行各业基于知识社会下一代创新（创新2.0）的城市信息化高级形态，实现信息化、工业化与城镇化深度融合，有助于缓解“大城市病”，提高城镇化质量，实现精细化和动态管理，并提升城市管理成效和改善市民生活质量。</w:t>
      </w: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lang w:val="en-US" w:eastAsia="zh-CN"/>
        </w:rPr>
        <w:t>3</w:t>
      </w:r>
      <w:r>
        <w:rPr>
          <w:rFonts w:ascii="Times New Roman" w:eastAsia="宋体" w:hAnsi="Times New Roman" w:hint="eastAsia"/>
          <w:color w:val="auto"/>
          <w:sz w:val="24"/>
          <w:highlight w:val="none"/>
        </w:rPr>
        <w:t>、节能减排：包括节能和减排两个方面。节能，就是节约能耗，也称“节能降耗”，包括电、煤、油、水等；减排，就是减少污染物排放。</w:t>
      </w: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lang w:val="en-US" w:eastAsia="zh-CN"/>
        </w:rPr>
        <w:t>4</w:t>
      </w:r>
      <w:r>
        <w:rPr>
          <w:rFonts w:ascii="Times New Roman" w:eastAsia="宋体" w:hAnsi="Times New Roman" w:hint="eastAsia"/>
          <w:color w:val="auto"/>
          <w:sz w:val="24"/>
          <w:highlight w:val="none"/>
        </w:rPr>
        <w:t>、5G：第五代移动通信技术，是最新一代的蜂窝移动通信技术，也是继4G（LTE-A、 WiMax）、3G（UMTS、LTE）和2G（GSM）系统之后的延伸。5G的性能目标是高数据速率、减少延迟、节省能源、降低成本、提高系统容量和大规模设备连接。 Release-15中的5G规范的第一阶段是为了适应早期的商业部署。 Release-16的第二阶段将于2020年4月完成，作为MT-2020技术的候选交给国际电信联盟（ITU）。 ITU IMT2020规范要求速度高达20Gbit/s，可以实现宽信道带宽和大容量MIM0。</w:t>
      </w: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lang w:val="en-US" w:eastAsia="zh-CN"/>
        </w:rPr>
        <w:t>5</w:t>
      </w:r>
      <w:r>
        <w:rPr>
          <w:rFonts w:ascii="Times New Roman" w:eastAsia="宋体" w:hAnsi="Times New Roman" w:hint="eastAsia"/>
          <w:color w:val="auto"/>
          <w:sz w:val="24"/>
          <w:highlight w:val="none"/>
        </w:rPr>
        <w:t>、物联网：是指通过信息传感设备，按照约定的协议，把任何物品与互联网连接起来，进行信息交换和通讯，以实现智能化识别、定位、跟踪、监控和管理的一种网络。它是在互联网</w:t>
      </w:r>
      <w:r>
        <w:rPr>
          <w:rFonts w:ascii="Times New Roman" w:eastAsia="宋体" w:hAnsi="Times New Roman" w:hint="eastAsia"/>
          <w:color w:val="auto"/>
          <w:sz w:val="24"/>
          <w:highlight w:val="none"/>
          <w:lang w:val="en-US" w:eastAsia="zh-CN"/>
        </w:rPr>
        <w:t>基础</w:t>
      </w:r>
      <w:r>
        <w:rPr>
          <w:rFonts w:ascii="Times New Roman" w:eastAsia="宋体" w:hAnsi="Times New Roman" w:hint="eastAsia"/>
          <w:color w:val="auto"/>
          <w:sz w:val="24"/>
          <w:highlight w:val="none"/>
        </w:rPr>
        <w:t>上延伸和扩展的网络。</w:t>
      </w: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lang w:val="en-US" w:eastAsia="zh-CN"/>
        </w:rPr>
        <w:t>6</w:t>
      </w:r>
      <w:r>
        <w:rPr>
          <w:rFonts w:ascii="Times New Roman" w:eastAsia="宋体" w:hAnsi="Times New Roman" w:hint="eastAsia"/>
          <w:color w:val="auto"/>
          <w:sz w:val="24"/>
          <w:highlight w:val="none"/>
        </w:rPr>
        <w:t>、云计算：实际上就是互联网的扩展应用。云计算的基本原理是，通过使计算分布在大量分布式计算机上，而非本地计算机或远程服务器中，企业数据中心的运行将更与互联网相似。这使得企业能够将资源切换到需要的应用上，根据需求访问计算机和存储系统。</w:t>
      </w: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lang w:val="en-US" w:eastAsia="zh-CN"/>
        </w:rPr>
        <w:t>7</w:t>
      </w:r>
      <w:r>
        <w:rPr>
          <w:rFonts w:ascii="Times New Roman" w:eastAsia="宋体" w:hAnsi="Times New Roman" w:hint="eastAsia"/>
          <w:color w:val="auto"/>
          <w:sz w:val="24"/>
          <w:highlight w:val="none"/>
        </w:rPr>
        <w:t>、GPON：Gigabit-CapablePON，千兆无源光网络，GPON技术是基于ITU-TG.984.x标准的最新一代宽带无源光综合接入标准，基于GP0N技术的设备基本结构与已有的P0N类似，也是由局端的0LT（光线端），用户端的OMT/ONU（光网络终端或称作光网络单元），连接前两种设备由单模光纤（SMfiber）和无源分光器（Splitter）组成的0N（分配网络）以及网管系统组成。</w:t>
      </w: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lang w:val="en-US" w:eastAsia="zh-CN"/>
        </w:rPr>
        <w:t>8</w:t>
      </w:r>
      <w:r>
        <w:rPr>
          <w:rFonts w:ascii="Times New Roman" w:eastAsia="宋体" w:hAnsi="Times New Roman" w:hint="eastAsia"/>
          <w:color w:val="auto"/>
          <w:sz w:val="24"/>
          <w:highlight w:val="none"/>
        </w:rPr>
        <w:t>、EPON：EthernetPassiveOpticalNetwork，以太网无源光网络，是一种新型</w:t>
      </w:r>
      <w:r>
        <w:rPr>
          <w:rFonts w:ascii="Times New Roman" w:eastAsia="宋体" w:hAnsi="Times New Roman" w:hint="eastAsia"/>
          <w:color w:val="auto"/>
          <w:sz w:val="24"/>
          <w:highlight w:val="none"/>
          <w:lang w:val="en-US" w:eastAsia="zh-CN"/>
        </w:rPr>
        <w:t>网络</w:t>
      </w:r>
      <w:r>
        <w:rPr>
          <w:rFonts w:ascii="Times New Roman" w:eastAsia="宋体" w:hAnsi="Times New Roman" w:hint="eastAsia"/>
          <w:color w:val="auto"/>
          <w:sz w:val="24"/>
          <w:highlight w:val="none"/>
        </w:rPr>
        <w:t>技术，它采用点到多点结构、无源光纤传输，在以太网之上提供多种业务。它在物理层采用PQN技术，在链路层使用以太网协议，利用PON的拓扑结构实现了以太网的接入。</w:t>
      </w: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lang w:val="en-US" w:eastAsia="zh-CN"/>
        </w:rPr>
        <w:t>9</w:t>
      </w:r>
      <w:r>
        <w:rPr>
          <w:rFonts w:ascii="Times New Roman" w:eastAsia="宋体" w:hAnsi="Times New Roman" w:hint="eastAsia"/>
          <w:color w:val="auto"/>
          <w:sz w:val="24"/>
          <w:highlight w:val="none"/>
        </w:rPr>
        <w:t>、汇聚区：以汇聚节点为中心，依据城区地理状况、城区规划等，从网络组网的合理性和管理维护的方便性出发，划分汇聚区域，汇聚区域内保持一定的网络独立性，并与上层核心网或其他汇聚区域进行统一连接。</w:t>
      </w: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lang w:val="en-US" w:eastAsia="zh-CN"/>
        </w:rPr>
        <w:t>10</w:t>
      </w:r>
      <w:r>
        <w:rPr>
          <w:rFonts w:ascii="Times New Roman" w:eastAsia="宋体" w:hAnsi="Times New Roman" w:hint="eastAsia"/>
          <w:color w:val="auto"/>
          <w:sz w:val="24"/>
          <w:highlight w:val="none"/>
        </w:rPr>
        <w:t>、主干光节点：指将多条配线光缆汇聚后形成主干光缆上联至中继节点，下连5~15个配线光节点，再由配线光节点下连若干个用户光节点，负责网格范围内半径200~500m以内的用户接入。</w:t>
      </w: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lang w:val="en-US" w:eastAsia="zh-CN"/>
        </w:rPr>
        <w:t>11</w:t>
      </w:r>
      <w:r>
        <w:rPr>
          <w:rFonts w:ascii="Times New Roman" w:eastAsia="宋体" w:hAnsi="Times New Roman" w:hint="eastAsia"/>
          <w:color w:val="auto"/>
          <w:sz w:val="24"/>
          <w:highlight w:val="none"/>
        </w:rPr>
        <w:t>、宏站：又称宏基站，通信运营商的无线信号发射基站，覆盖距离大，用于蜂窝式移动电话通讯。因为小区的覆盖面积较大在覆盖区域内往往存在两种特殊的微小区域。宏基站内主要由电源柜、电池、传输机柜、BTS机柜、空调等设备组成。</w:t>
      </w:r>
    </w:p>
    <w:p>
      <w:pPr>
        <w:widowControl/>
        <w:spacing w:line="240" w:lineRule="auto"/>
        <w:ind w:left="0" w:firstLine="480"/>
        <w:rPr>
          <w:rFonts w:ascii="Times New Roman" w:eastAsia="宋体" w:hAnsi="Times New Roman" w:hint="eastAsia"/>
          <w:color w:val="auto"/>
          <w:sz w:val="24"/>
          <w:highlight w:val="none"/>
        </w:rPr>
      </w:pPr>
      <w:r>
        <w:rPr>
          <w:rFonts w:ascii="Times New Roman" w:eastAsia="宋体" w:hAnsi="Times New Roman" w:hint="eastAsia"/>
          <w:color w:val="auto"/>
          <w:sz w:val="24"/>
          <w:highlight w:val="none"/>
          <w:lang w:val="en-US" w:eastAsia="zh-CN"/>
        </w:rPr>
        <w:t>12</w:t>
      </w:r>
      <w:r>
        <w:rPr>
          <w:rFonts w:ascii="Times New Roman" w:eastAsia="宋体" w:hAnsi="Times New Roman" w:hint="eastAsia"/>
          <w:color w:val="auto"/>
          <w:sz w:val="24"/>
          <w:highlight w:val="none"/>
        </w:rPr>
        <w:t>、室分：室内分布系统，针对室内用户群、用于改善建筑物内移动通信环境的一种成功的方案；是利用室内天线分布系统将移动基站的信号均匀分布在室内每个角落，从而保证室内区域拥有理想的信号覆盖。</w:t>
      </w:r>
    </w:p>
    <w:p>
      <w:pPr>
        <w:widowControl/>
        <w:spacing w:line="240" w:lineRule="auto"/>
        <w:ind w:left="0" w:firstLine="480"/>
        <w:rPr>
          <w:rFonts w:ascii="Times New Roman" w:eastAsia="宋体" w:hAnsi="Times New Roman" w:hint="eastAsia"/>
          <w:color w:val="auto"/>
          <w:sz w:val="24"/>
          <w:highlight w:val="none"/>
          <w:lang w:eastAsia="zh-CN"/>
        </w:rPr>
      </w:pPr>
      <w:r>
        <w:rPr>
          <w:rFonts w:ascii="Times New Roman" w:eastAsia="宋体" w:hAnsi="Times New Roman" w:hint="eastAsia"/>
          <w:color w:val="auto"/>
          <w:sz w:val="24"/>
          <w:highlight w:val="none"/>
          <w:lang w:val="en-US" w:eastAsia="zh-CN"/>
        </w:rPr>
        <w:t>13、移动通信基站：公用移动通信基站是无线电台站的一种形式，是指在一定的无线电覆盖区中，通过移动通信交换中心，与移动电话终端之间进行信息传递的无线电收发信电台。简单地说，基站用来保证我们在移动的过程中手机可以随时随地保持着有信号，可以保证通话以及收发信息等需求。</w:t>
      </w:r>
    </w:p>
    <w:sectPr>
      <w:pgSz w:w="23814" w:h="16839" w:orient="landscape"/>
      <w:pgMar w:top="1797" w:right="1440" w:bottom="1797" w:left="1440" w:header="851" w:footer="992" w:gutter="0"/>
      <w:pgNumType w:fmt="decimal"/>
      <w:cols w:num="2" w:space="630"/>
      <w:titlePg/>
      <w:docGrid w:type="lines"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Cambria">
    <w:panose1 w:val="02040503050406030204"/>
    <w:charset w:val="00"/>
    <w:family w:val="roman"/>
    <w:pitch w:val="default"/>
    <w:sig w:usb0="E00006FF" w:usb1="420024FF" w:usb2="02000000" w:usb3="00000000" w:csb0="2000019F" w:csb1="00000000"/>
  </w:font>
  <w:font w:name="长城仿宋">
    <w:altName w:val="黑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swiss"/>
    <w:pitch w:val="default"/>
    <w:sig w:usb0="80000287" w:usb1="2ACF3C50" w:usb2="00000016" w:usb3="00000000" w:csb0="0004001F" w:csb1="00000000"/>
  </w:font>
  <w:font w:name="华光行草_CNKI">
    <w:panose1 w:val="02000500000000000000"/>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jc w:val="center"/>
    </w:pPr>
  </w:p>
  <w:p>
    <w:pPr>
      <w:pStyle w:val="BodyText"/>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keepNext w:val="0"/>
                            <w:keepLines w:val="0"/>
                            <w:pageBreakBefore w:val="0"/>
                            <w:widowControl w:val="0"/>
                            <w:kinsoku/>
                            <w:wordWrap/>
                            <w:overflowPunct/>
                            <w:topLinePunct w:val="0"/>
                            <w:autoSpaceDE/>
                            <w:autoSpaceDN/>
                            <w:bidi w:val="0"/>
                            <w:adjustRightInd/>
                            <w:snapToGrid w:val="0"/>
                            <w:ind w:left="0" w:firstLine="0" w:firstLineChars="0"/>
                            <w:jc w:val="center"/>
                            <w:textAlignment w:val="auto"/>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0" type="#_x0000_t202" style="height:2in;margin-left:0;margin-top:0;mso-height-relative:page;mso-position-horizontal:center;mso-position-horizontal-relative:margin;mso-width-relative:page;mso-wrap-style:none;position:absolute;width:2in;z-index:251660288" coordsize="21600,21600" filled="f" stroked="f">
              <o:lock v:ext="edit" aspectratio="f"/>
              <v:textbox style="mso-fit-shape-to-text:t" inset="0,0,0,0">
                <w:txbxContent>
                  <w:p>
                    <w:pPr>
                      <w:pStyle w:val="Footer"/>
                      <w:keepNext w:val="0"/>
                      <w:keepLines w:val="0"/>
                      <w:pageBreakBefore w:val="0"/>
                      <w:widowControl w:val="0"/>
                      <w:kinsoku/>
                      <w:wordWrap/>
                      <w:overflowPunct/>
                      <w:topLinePunct w:val="0"/>
                      <w:autoSpaceDE/>
                      <w:autoSpaceDN/>
                      <w:bidi w:val="0"/>
                      <w:adjustRightInd/>
                      <w:snapToGrid w:val="0"/>
                      <w:ind w:left="0" w:firstLine="0" w:firstLineChars="0"/>
                      <w:jc w:val="center"/>
                      <w:textAlignment w:val="auto"/>
                    </w:pPr>
                    <w:r>
                      <w:fldChar w:fldCharType="begin"/>
                    </w:r>
                    <w:r>
                      <w:instrText xml:space="preserve"> PAGE  \* MERGEFORMAT </w:instrText>
                    </w:r>
                    <w:r>
                      <w:fldChar w:fldCharType="separate"/>
                    </w:r>
                    <w:r>
                      <w:t>3</w:t>
                    </w:r>
                    <w: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keepNext w:val="0"/>
      <w:keepLines w:val="0"/>
      <w:pageBreakBefore w:val="0"/>
      <w:widowControl w:val="0"/>
      <w:kinsoku/>
      <w:wordWrap/>
      <w:overflowPunct/>
      <w:topLinePunct w:val="0"/>
      <w:autoSpaceDE/>
      <w:autoSpaceDN/>
      <w:bidi w:val="0"/>
      <w:adjustRightInd/>
      <w:snapToGrid w:val="0"/>
      <w:ind w:left="0" w:firstLine="0" w:firstLineChars="0"/>
      <w:jc w:val="center"/>
      <w:textAlignment w:val="auto"/>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keepNext w:val="0"/>
                            <w:keepLines w:val="0"/>
                            <w:pageBreakBefore w:val="0"/>
                            <w:widowControl w:val="0"/>
                            <w:kinsoku/>
                            <w:wordWrap/>
                            <w:overflowPunct/>
                            <w:topLinePunct w:val="0"/>
                            <w:autoSpaceDE/>
                            <w:autoSpaceDN/>
                            <w:bidi w:val="0"/>
                            <w:adjustRightInd/>
                            <w:snapToGrid w:val="0"/>
                            <w:ind w:left="0" w:firstLine="0" w:firstLineChars="0"/>
                            <w:textAlignment w:val="auto"/>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1" type="#_x0000_t202" style="height:2in;margin-left:0;margin-top:0;mso-height-relative:page;mso-position-horizontal:center;mso-position-horizontal-relative:margin;mso-width-relative:page;mso-wrap-style:none;position:absolute;width:2in;z-index:251662336" coordsize="21600,21600" filled="f" stroked="f">
              <o:lock v:ext="edit" aspectratio="f"/>
              <v:textbox style="mso-fit-shape-to-text:t" inset="0,0,0,0">
                <w:txbxContent>
                  <w:p>
                    <w:pPr>
                      <w:pStyle w:val="Footer"/>
                      <w:keepNext w:val="0"/>
                      <w:keepLines w:val="0"/>
                      <w:pageBreakBefore w:val="0"/>
                      <w:widowControl w:val="0"/>
                      <w:kinsoku/>
                      <w:wordWrap/>
                      <w:overflowPunct/>
                      <w:topLinePunct w:val="0"/>
                      <w:autoSpaceDE/>
                      <w:autoSpaceDN/>
                      <w:bidi w:val="0"/>
                      <w:adjustRightInd/>
                      <w:snapToGrid w:val="0"/>
                      <w:ind w:left="0" w:firstLine="0" w:firstLineChars="0"/>
                      <w:textAlignment w:val="auto"/>
                    </w:pPr>
                    <w:r>
                      <w:fldChar w:fldCharType="begin"/>
                    </w:r>
                    <w:r>
                      <w:instrText xml:space="preserve"> PAGE  \* MERGEFORMAT </w:instrText>
                    </w:r>
                    <w:r>
                      <w:fldChar w:fldCharType="separate"/>
                    </w:r>
                    <w:r>
                      <w:t>2</w:t>
                    </w:r>
                    <w:r>
                      <w:fldChar w:fldCharType="end"/>
                    </w:r>
                  </w:p>
                </w:txbxContent>
              </v:textbox>
              <w10:wrap anchorx="margin"/>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ImpTraceLabel" o:spid="_x0000_s2049" type="#_x0000_t202" style="height:0;margin-left:0;margin-top:0;mso-position-horizontal-relative:page;mso-position-vertical-relative:page;position:absolute;width:0;z-index:251658240" filled="f" stroked="f">
          <v:path strokeok="f" textboxrect="0,0,21600,21600"/>
          <v:textbox>
            <w:txbxContent>
              <w:p>
                <w:r>
                  <w:t>ImpTraceLabel=PD94bWwgdmVyc2lvbj0nMS4wJyBlbmNvZGluZz0nVVRGLTgnPz48dHJhY2U+PGNvbnRlbnQ+PC9jb250ZW50PjxhY2NvdW50PnNhM3N3N2w1NzFqYjh1YWM1Ym9ncTI8L2FjY291bnQ+PG1hY2hpbmVDb2RlPjA2OTk0NjMwMDVDQgo8L21hY2hpbmVDb2RlPjx0aW1lPjIwMjQtMDUtMTEgMTc6NDg6Mzg8L3RpbWU+PHN5c3RlbT5NQjxzeXN0ZW0+PC90cmFjZT4=</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tabs>
        <w:tab w:val="left" w:pos="6615"/>
      </w:tabs>
      <w:ind w:firstLine="420"/>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none" w:sz="0"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993B08C1"/>
    <w:multiLevelType w:val="singleLevel"/>
    <w:tmpl w:val="993B08C1"/>
    <w:lvl w:ilvl="0">
      <w:start w:val="4"/>
      <w:numFmt w:val="decimal"/>
      <w:suff w:val="nothing"/>
      <w:lvlText w:val="%1、"/>
      <w:lvlJc w:val="left"/>
    </w:lvl>
  </w:abstractNum>
  <w:abstractNum w:abstractNumId="1">
    <w:nsid w:val="9C1BBA7D"/>
    <w:multiLevelType w:val="singleLevel"/>
    <w:tmpl w:val="9C1BBA7D"/>
    <w:lvl w:ilvl="0">
      <w:start w:val="6"/>
      <w:numFmt w:val="decimal"/>
      <w:suff w:val="nothing"/>
      <w:lvlText w:val="（%1）"/>
      <w:lvlJc w:val="left"/>
    </w:lvl>
  </w:abstractNum>
  <w:abstractNum w:abstractNumId="2">
    <w:nsid w:val="2C225B45"/>
    <w:multiLevelType w:val="singleLevel"/>
    <w:tmpl w:val="2C225B45"/>
    <w:lvl w:ilvl="0">
      <w:start w:val="1"/>
      <w:numFmt w:val="decimal"/>
      <w:lvlText w:val="%1."/>
      <w:lvlJc w:val="left"/>
      <w:pPr>
        <w:ind w:left="425" w:hanging="425"/>
      </w:pPr>
      <w:rPr>
        <w:rFonts w:hint="default"/>
      </w:rPr>
    </w:lvl>
  </w:abstractNum>
  <w:abstractNum w:abstractNumId="3">
    <w:nsid w:val="435432D8"/>
    <w:multiLevelType w:val="multilevel"/>
    <w:tmpl w:val="435432D8"/>
    <w:lvl w:ilvl="0">
      <w:start w:val="1"/>
      <w:numFmt w:val="decimal"/>
      <w:suff w:val="nothing"/>
      <w:lvlText w:val="%1."/>
      <w:lvlJc w:val="left"/>
      <w:pPr>
        <w:ind w:left="1738" w:hanging="420"/>
      </w:pPr>
      <w:rPr>
        <w:rFonts w:hint="eastAsia"/>
      </w:rPr>
    </w:lvl>
    <w:lvl w:ilvl="1">
      <w:start w:val="1"/>
      <w:numFmt w:val="lowerLetter"/>
      <w:lvlText w:val="%2)"/>
      <w:lvlJc w:val="left"/>
      <w:pPr>
        <w:ind w:left="2158" w:hanging="420"/>
      </w:pPr>
    </w:lvl>
    <w:lvl w:ilvl="2">
      <w:start w:val="1"/>
      <w:numFmt w:val="lowerRoman"/>
      <w:lvlText w:val="%3."/>
      <w:lvlJc w:val="right"/>
      <w:pPr>
        <w:ind w:left="2578" w:hanging="420"/>
      </w:pPr>
    </w:lvl>
    <w:lvl w:ilvl="3">
      <w:start w:val="1"/>
      <w:numFmt w:val="decimal"/>
      <w:lvlText w:val="%4."/>
      <w:lvlJc w:val="left"/>
      <w:pPr>
        <w:ind w:left="2998" w:hanging="420"/>
      </w:pPr>
    </w:lvl>
    <w:lvl w:ilvl="4">
      <w:start w:val="1"/>
      <w:numFmt w:val="lowerLetter"/>
      <w:lvlText w:val="%5)"/>
      <w:lvlJc w:val="left"/>
      <w:pPr>
        <w:ind w:left="3418" w:hanging="420"/>
      </w:pPr>
    </w:lvl>
    <w:lvl w:ilvl="5">
      <w:start w:val="1"/>
      <w:numFmt w:val="lowerRoman"/>
      <w:lvlText w:val="%6."/>
      <w:lvlJc w:val="right"/>
      <w:pPr>
        <w:ind w:left="3838" w:hanging="420"/>
      </w:pPr>
    </w:lvl>
    <w:lvl w:ilvl="6">
      <w:start w:val="1"/>
      <w:numFmt w:val="decimal"/>
      <w:lvlText w:val="%7."/>
      <w:lvlJc w:val="left"/>
      <w:pPr>
        <w:ind w:left="4258" w:hanging="420"/>
      </w:pPr>
    </w:lvl>
    <w:lvl w:ilvl="7">
      <w:start w:val="1"/>
      <w:numFmt w:val="lowerLetter"/>
      <w:lvlText w:val="%8)"/>
      <w:lvlJc w:val="left"/>
      <w:pPr>
        <w:ind w:left="4678" w:hanging="420"/>
      </w:pPr>
    </w:lvl>
    <w:lvl w:ilvl="8">
      <w:start w:val="1"/>
      <w:numFmt w:val="lowerRoman"/>
      <w:lvlText w:val="%9."/>
      <w:lvlJc w:val="right"/>
      <w:pPr>
        <w:ind w:left="5098" w:hanging="420"/>
      </w:pPr>
    </w:lvl>
  </w:abstractNum>
  <w:abstractNum w:abstractNumId="4">
    <w:nsid w:val="59420D4D"/>
    <w:multiLevelType w:val="multilevel"/>
    <w:tmpl w:val="59420D4D"/>
    <w:lvl w:ilvl="0">
      <w:start w:val="2"/>
      <w:numFmt w:val="decimal"/>
      <w:pStyle w:val="4-"/>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
    <w:nsid w:val="61736E98"/>
    <w:multiLevelType w:val="singleLevel"/>
    <w:tmpl w:val="61736E98"/>
    <w:lvl w:ilvl="0">
      <w:start w:val="2"/>
      <w:numFmt w:val="decimal"/>
      <w:suff w:val="nothing"/>
      <w:lvlText w:val="（%1）"/>
      <w:lvlJc w:val="left"/>
    </w:lvl>
  </w:abstractNum>
  <w:abstractNum w:abstractNumId="6">
    <w:nsid w:val="6CEA2025"/>
    <w:multiLevelType w:val="multilevel"/>
    <w:tmpl w:val="6CEA2025"/>
    <w:lvl w:ilvl="0">
      <w:start w:val="1"/>
      <w:numFmt w:val="none"/>
      <w:suff w:val="nothing"/>
      <w:lvlText w:val="%1"/>
      <w:lvlJc w:val="left"/>
      <w:pPr>
        <w:ind w:left="0" w:firstLine="0"/>
      </w:pPr>
      <w:rPr>
        <w:rFonts w:ascii="Times New Roman" w:hAnsi="Times New Roman" w:hint="default"/>
        <w:b/>
        <w:i w:val="0"/>
        <w:sz w:val="21"/>
      </w:rPr>
    </w:lvl>
    <w:lvl w:ilvl="1">
      <w:start w:val="1"/>
      <w:numFmt w:val="decimal"/>
      <w:pStyle w:val="a5"/>
      <w:suff w:val="nothing"/>
      <w:lvlText w:val="%1%2　"/>
      <w:lvlJc w:val="left"/>
      <w:pPr>
        <w:ind w:left="420" w:firstLine="0"/>
      </w:pPr>
      <w:rPr>
        <w:rFonts w:ascii="黑体" w:eastAsia="黑体" w:hAnsi="Times New Roman" w:hint="eastAsia"/>
        <w:b w:val="0"/>
        <w:i w:val="0"/>
        <w:sz w:val="21"/>
      </w:rPr>
    </w:lvl>
    <w:lvl w:ilvl="2">
      <w:start w:val="1"/>
      <w:numFmt w:val="decimal"/>
      <w:pStyle w:val="a4"/>
      <w:suff w:val="nothing"/>
      <w:lvlText w:val="%1%2.%3　"/>
      <w:lvlJc w:val="left"/>
      <w:pPr>
        <w:ind w:left="0" w:firstLine="0"/>
      </w:pPr>
      <w:rPr>
        <w:rFonts w:ascii="黑体" w:eastAsia="黑体" w:hAnsi="Times New Roman" w:hint="eastAsia"/>
        <w:b w:val="0"/>
        <w:i w:val="0"/>
        <w:sz w:val="21"/>
      </w:rPr>
    </w:lvl>
    <w:lvl w:ilvl="3">
      <w:start w:val="1"/>
      <w:numFmt w:val="decimal"/>
      <w:pStyle w:val="a3"/>
      <w:suff w:val="nothing"/>
      <w:lvlText w:val="%1%2.%3.%4　"/>
      <w:lvlJc w:val="left"/>
      <w:pPr>
        <w:ind w:left="0" w:firstLine="0"/>
      </w:pPr>
      <w:rPr>
        <w:rFonts w:ascii="黑体" w:eastAsia="黑体" w:hAnsi="Times New Roman" w:hint="eastAsia"/>
        <w:b w:val="0"/>
        <w:i w:val="0"/>
        <w:sz w:val="21"/>
      </w:rPr>
    </w:lvl>
    <w:lvl w:ilvl="4">
      <w:start w:val="1"/>
      <w:numFmt w:val="decimal"/>
      <w:pStyle w:val="a2"/>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num w:numId="1">
    <w:abstractNumId w:val="6"/>
  </w:num>
  <w:num w:numId="2">
    <w:abstractNumId w:val="4"/>
  </w:num>
  <w:num w:numId="3">
    <w:abstractNumId w:val="3"/>
  </w:num>
  <w:num w:numId="4">
    <w:abstractNumId w:val="0"/>
  </w:num>
  <w:num w:numId="5">
    <w:abstractNumId w:val="2"/>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90"/>
  <w:defaultTabStop w:val="420"/>
  <w:drawingGridHorizontalSpacing w:val="525"/>
  <w:drawingGridVerticalSpacing w:val="143"/>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YzNTY5MDZhNzM3ZTMyMzZiZDg0MmQzZTI2ZGFhZTEifQ=="/>
    <w:docVar w:name="KSO_WPS_MARK_KEY" w:val="3da53b22-0471-410b-a1c1-89f8a71eb6d8"/>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unhideWhenUsed="0"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semiHidden="0" w:uiPriority="39" w:unhideWhenUsed="0" w:qFormat="1"/>
    <w:lsdException w:name="toc 2" w:semiHidden="0" w:uiPriority="39" w:unhideWhenUsed="0"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footnote text"/>
    <w:lsdException w:name="annotation text" w:qFormat="1"/>
    <w:lsdException w:name="header" w:semiHidden="0" w:qFormat="1"/>
    <w:lsdException w:name="footer" w:semiHidden="0" w:qFormat="1"/>
    <w:lsdException w:name="index heading"/>
    <w:lsdException w:name="caption" w:semiHidden="0" w:uiPriority="0" w:qFormat="1"/>
    <w:lsdException w:name="table of figures"/>
    <w:lsdException w:name="envelope address"/>
    <w:lsdException w:name="envelope return"/>
    <w:lsdException w:name="footnote reference"/>
    <w:lsdException w:name="annotation reference" w:qFormat="1"/>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0" w:unhideWhenUsed="0" w:qFormat="1"/>
    <w:lsdException w:name="Closing"/>
    <w:lsdException w:name="Signature"/>
    <w:lsdException w:name="Default Paragraph Font" w:uiPriority="1" w:qFormat="1"/>
    <w:lsdException w:name="Body Text" w:semiHidden="0" w:uiPriority="1"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qFormat="1"/>
    <w:lsdException w:name="Body Text First Indent"/>
    <w:lsdException w:name="Body Text First Indent 2"/>
    <w:lsdException w:name="Body Text 2"/>
    <w:lsdException w:name="Body Text 3"/>
    <w:lsdException w:name="Body Text Indent 2"/>
    <w:lsdException w:name="Body Text Indent 3"/>
    <w:lsdException w:name="Block Text"/>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qFormat="1"/>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59" w:unhideWhenUsed="0" w:qFormat="1"/>
    <w:lsdException w:name="Table Theme"/>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next w:val="NormalIndent"/>
    <w:qFormat/>
    <w:pPr>
      <w:widowControl w:val="0"/>
      <w:spacing w:line="480" w:lineRule="exact"/>
      <w:ind w:left="958" w:firstLine="200" w:firstLineChars="200"/>
      <w:jc w:val="both"/>
    </w:pPr>
    <w:rPr>
      <w:rFonts w:asciiTheme="minorHAnsi" w:eastAsiaTheme="minorEastAsia" w:hAnsiTheme="minorHAnsi" w:cstheme="minorBidi"/>
      <w:kern w:val="2"/>
      <w:sz w:val="21"/>
      <w:szCs w:val="22"/>
      <w:lang w:val="en-US" w:eastAsia="zh-CN" w:bidi="ar-SA"/>
    </w:rPr>
  </w:style>
  <w:style w:type="paragraph" w:styleId="Heading1">
    <w:name w:val="heading 1"/>
    <w:basedOn w:val="Normal"/>
    <w:next w:val="Normal"/>
    <w:link w:val="1"/>
    <w:qFormat/>
    <w:pPr>
      <w:keepNext/>
      <w:keepLines/>
      <w:spacing w:before="340" w:after="330" w:line="578" w:lineRule="atLeast"/>
      <w:outlineLvl w:val="0"/>
    </w:pPr>
    <w:rPr>
      <w:b/>
      <w:bCs/>
      <w:kern w:val="44"/>
      <w:sz w:val="44"/>
      <w:szCs w:val="44"/>
    </w:rPr>
  </w:style>
  <w:style w:type="paragraph" w:styleId="Heading2">
    <w:name w:val="heading 2"/>
    <w:basedOn w:val="Normal"/>
    <w:next w:val="Normal"/>
    <w:link w:val="2"/>
    <w:unhideWhenUsed/>
    <w:qFormat/>
    <w:pPr>
      <w:ind w:left="482"/>
      <w:outlineLvl w:val="1"/>
    </w:pPr>
    <w:rPr>
      <w:rFonts w:ascii="Microsoft JhengHei" w:eastAsia="Microsoft JhengHei" w:hAnsi="Microsoft JhengHei"/>
      <w:b/>
      <w:sz w:val="24"/>
    </w:rPr>
  </w:style>
  <w:style w:type="paragraph" w:styleId="Heading3">
    <w:name w:val="heading 3"/>
    <w:basedOn w:val="Normal"/>
    <w:next w:val="Normal"/>
    <w:link w:val="3"/>
    <w:unhideWhenUsed/>
    <w:qFormat/>
    <w:pPr>
      <w:keepNext/>
      <w:keepLines/>
      <w:spacing w:before="260" w:after="260" w:line="413" w:lineRule="auto"/>
      <w:outlineLvl w:val="2"/>
    </w:pPr>
    <w:rPr>
      <w:b/>
      <w:sz w:val="32"/>
    </w:rPr>
  </w:style>
  <w:style w:type="paragraph" w:styleId="Heading4">
    <w:name w:val="heading 4"/>
    <w:basedOn w:val="Normal"/>
    <w:next w:val="Normal"/>
    <w:unhideWhenUsed/>
    <w:qFormat/>
    <w:pPr>
      <w:keepNext/>
      <w:keepLines/>
      <w:spacing w:before="280" w:after="290" w:line="372" w:lineRule="auto"/>
      <w:outlineLvl w:val="3"/>
    </w:pPr>
    <w:rPr>
      <w:rFonts w:ascii="Arial" w:eastAsia="黑体" w:hAnsi="Arial"/>
      <w:b/>
      <w:sz w:val="28"/>
    </w:rPr>
  </w:style>
  <w:style w:type="paragraph" w:styleId="Heading5">
    <w:name w:val="heading 5"/>
    <w:basedOn w:val="Normal"/>
    <w:next w:val="Normal"/>
    <w:unhideWhenUsed/>
    <w:qFormat/>
    <w:pPr>
      <w:keepNext/>
      <w:keepLines/>
      <w:spacing w:before="280" w:after="290" w:line="372" w:lineRule="auto"/>
      <w:outlineLvl w:val="4"/>
    </w:pPr>
    <w:rPr>
      <w:b/>
      <w:sz w:val="28"/>
    </w:rPr>
  </w:style>
  <w:style w:type="paragraph" w:styleId="Heading6">
    <w:name w:val="heading 6"/>
    <w:basedOn w:val="Normal"/>
    <w:next w:val="Normal"/>
    <w:link w:val="6"/>
    <w:unhideWhenUsed/>
    <w:qFormat/>
    <w:pPr>
      <w:keepNext/>
      <w:keepLines/>
      <w:spacing w:before="240" w:after="64" w:line="317" w:lineRule="auto"/>
      <w:outlineLvl w:val="5"/>
    </w:pPr>
    <w:rPr>
      <w:rFonts w:ascii="Arial" w:eastAsia="黑体" w:hAnsi="Arial"/>
      <w:b/>
      <w:sz w:val="24"/>
    </w:rPr>
  </w:style>
  <w:style w:type="paragraph" w:styleId="Heading7">
    <w:name w:val="heading 7"/>
    <w:basedOn w:val="Normal"/>
    <w:next w:val="Normal"/>
    <w:link w:val="7"/>
    <w:unhideWhenUsed/>
    <w:qFormat/>
    <w:pPr>
      <w:keepNext/>
      <w:keepLines/>
      <w:spacing w:before="240" w:after="64" w:line="317" w:lineRule="auto"/>
      <w:outlineLvl w:val="6"/>
    </w:pPr>
    <w:rPr>
      <w:b/>
      <w:sz w:val="24"/>
    </w:rPr>
  </w:style>
  <w:style w:type="paragraph" w:styleId="Heading8">
    <w:name w:val="heading 8"/>
    <w:basedOn w:val="Normal"/>
    <w:next w:val="Normal"/>
    <w:link w:val="8"/>
    <w:unhideWhenUsed/>
    <w:qFormat/>
    <w:pPr>
      <w:keepNext/>
      <w:keepLines/>
      <w:spacing w:before="240" w:after="64" w:line="320" w:lineRule="atLeast"/>
      <w:outlineLvl w:val="7"/>
    </w:pPr>
    <w:rPr>
      <w:rFonts w:asciiTheme="majorHAnsi" w:eastAsiaTheme="majorEastAsia" w:hAnsiTheme="majorHAnsi" w:cstheme="majorBidi"/>
      <w:sz w:val="24"/>
      <w:szCs w:val="24"/>
    </w:rPr>
  </w:style>
  <w:style w:type="paragraph" w:styleId="Heading9">
    <w:name w:val="heading 9"/>
    <w:basedOn w:val="Normal"/>
    <w:next w:val="Normal"/>
    <w:link w:val="9"/>
    <w:qFormat/>
    <w:pPr>
      <w:keepLines/>
      <w:widowControl/>
      <w:spacing w:line="360" w:lineRule="auto"/>
      <w:ind w:left="0" w:firstLine="0" w:firstLineChars="0"/>
      <w:jc w:val="center"/>
      <w:outlineLvl w:val="8"/>
    </w:pPr>
    <w:rPr>
      <w:rFonts w:ascii="Times New Roman" w:eastAsia="宋体" w:hAnsi="Times New Roman" w:cs="Times New Roman"/>
      <w:b/>
      <w:sz w:val="24"/>
      <w:szCs w:val="24"/>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NormalIndent">
    <w:name w:val="Normal Indent"/>
    <w:basedOn w:val="Normal"/>
    <w:next w:val="Normal"/>
    <w:link w:val="a16"/>
    <w:qFormat/>
    <w:pPr>
      <w:snapToGrid w:val="0"/>
      <w:spacing w:line="360" w:lineRule="auto"/>
      <w:ind w:left="0" w:firstLine="480"/>
    </w:pPr>
    <w:rPr>
      <w:rFonts w:ascii="Times New Roman" w:eastAsia="宋体" w:hAnsi="Times New Roman" w:cs="Times New Roman"/>
      <w:sz w:val="24"/>
      <w:szCs w:val="24"/>
      <w:lang w:val="zh-CN"/>
    </w:rPr>
  </w:style>
  <w:style w:type="paragraph" w:styleId="Caption">
    <w:name w:val="caption"/>
    <w:basedOn w:val="Normal"/>
    <w:next w:val="Normal"/>
    <w:link w:val="a13"/>
    <w:unhideWhenUsed/>
    <w:qFormat/>
    <w:pPr>
      <w:spacing w:line="240" w:lineRule="auto"/>
      <w:ind w:left="0" w:firstLine="0" w:firstLineChars="0"/>
    </w:pPr>
    <w:rPr>
      <w:rFonts w:ascii="Cambria" w:eastAsia="黑体" w:hAnsi="Cambria" w:cs="Times New Roman"/>
      <w:sz w:val="20"/>
      <w:szCs w:val="20"/>
    </w:rPr>
  </w:style>
  <w:style w:type="paragraph" w:styleId="DocumentMap">
    <w:name w:val="Document Map"/>
    <w:basedOn w:val="Normal"/>
    <w:link w:val="a15"/>
    <w:uiPriority w:val="99"/>
    <w:semiHidden/>
    <w:unhideWhenUsed/>
    <w:qFormat/>
    <w:rPr>
      <w:rFonts w:ascii="宋体" w:eastAsia="宋体"/>
      <w:sz w:val="18"/>
      <w:szCs w:val="18"/>
    </w:rPr>
  </w:style>
  <w:style w:type="paragraph" w:styleId="CommentText">
    <w:name w:val="annotation text"/>
    <w:basedOn w:val="Normal"/>
    <w:link w:val="a17"/>
    <w:uiPriority w:val="99"/>
    <w:semiHidden/>
    <w:unhideWhenUsed/>
    <w:qFormat/>
    <w:pPr>
      <w:jc w:val="left"/>
    </w:pPr>
  </w:style>
  <w:style w:type="paragraph" w:styleId="BodyText">
    <w:name w:val="Body Text"/>
    <w:basedOn w:val="Normal"/>
    <w:uiPriority w:val="1"/>
    <w:unhideWhenUsed/>
    <w:qFormat/>
    <w:pPr>
      <w:ind w:left="440"/>
    </w:pPr>
    <w:rPr>
      <w:rFonts w:ascii="Calibri" w:eastAsia="Calibri" w:hAnsi="Calibri"/>
      <w:sz w:val="22"/>
    </w:rPr>
  </w:style>
  <w:style w:type="paragraph" w:styleId="TOC3">
    <w:name w:val="toc 3"/>
    <w:basedOn w:val="Normal"/>
    <w:next w:val="Normal"/>
    <w:uiPriority w:val="39"/>
    <w:unhideWhenUsed/>
    <w:qFormat/>
    <w:pPr>
      <w:spacing w:line="240" w:lineRule="auto"/>
      <w:ind w:left="840" w:firstLine="0" w:leftChars="400" w:firstLineChars="0"/>
    </w:pPr>
  </w:style>
  <w:style w:type="paragraph" w:styleId="Date">
    <w:name w:val="Date"/>
    <w:basedOn w:val="Normal"/>
    <w:next w:val="Normal"/>
    <w:link w:val="a10"/>
    <w:uiPriority w:val="99"/>
    <w:semiHidden/>
    <w:unhideWhenUsed/>
    <w:qFormat/>
    <w:pPr>
      <w:spacing w:line="240" w:lineRule="auto"/>
      <w:ind w:left="100" w:firstLine="0" w:leftChars="2500" w:firstLineChars="0"/>
    </w:pPr>
  </w:style>
  <w:style w:type="paragraph" w:styleId="BalloonText">
    <w:name w:val="Balloon Text"/>
    <w:basedOn w:val="Normal"/>
    <w:link w:val="a9"/>
    <w:uiPriority w:val="99"/>
    <w:semiHidden/>
    <w:unhideWhenUsed/>
    <w:qFormat/>
    <w:pPr>
      <w:spacing w:line="240" w:lineRule="auto"/>
    </w:pPr>
    <w:rPr>
      <w:sz w:val="18"/>
      <w:szCs w:val="18"/>
    </w:rPr>
  </w:style>
  <w:style w:type="paragraph" w:styleId="Footer">
    <w:name w:val="footer"/>
    <w:basedOn w:val="Normal"/>
    <w:link w:val="a1"/>
    <w:uiPriority w:val="99"/>
    <w:unhideWhenUsed/>
    <w:qFormat/>
    <w:pPr>
      <w:tabs>
        <w:tab w:val="center" w:pos="4153"/>
        <w:tab w:val="right" w:pos="8306"/>
      </w:tabs>
      <w:snapToGrid w:val="0"/>
      <w:spacing w:line="240" w:lineRule="atLeast"/>
      <w:jc w:val="left"/>
    </w:pPr>
    <w:rPr>
      <w:sz w:val="18"/>
      <w:szCs w:val="18"/>
    </w:rPr>
  </w:style>
  <w:style w:type="paragraph" w:styleId="Header">
    <w:name w:val="header"/>
    <w:basedOn w:val="Normal"/>
    <w:link w:val="a0"/>
    <w:uiPriority w:val="99"/>
    <w:unhideWhenUsed/>
    <w:qFormat/>
    <w:pPr>
      <w:pBdr>
        <w:bottom w:val="single" w:sz="6" w:space="1" w:color="auto"/>
      </w:pBdr>
      <w:tabs>
        <w:tab w:val="center" w:pos="4153"/>
        <w:tab w:val="right" w:pos="8306"/>
      </w:tabs>
      <w:snapToGrid w:val="0"/>
      <w:spacing w:line="240" w:lineRule="atLeast"/>
      <w:jc w:val="center"/>
    </w:pPr>
    <w:rPr>
      <w:sz w:val="18"/>
      <w:szCs w:val="18"/>
    </w:rPr>
  </w:style>
  <w:style w:type="paragraph" w:styleId="TOC1">
    <w:name w:val="toc 1"/>
    <w:basedOn w:val="Normal"/>
    <w:next w:val="Normal"/>
    <w:uiPriority w:val="39"/>
    <w:qFormat/>
    <w:pPr>
      <w:spacing w:before="120" w:after="120"/>
      <w:jc w:val="left"/>
    </w:pPr>
    <w:rPr>
      <w:rFonts w:ascii="Calibri" w:hAnsi="Calibri" w:cs="Calibri"/>
      <w:b/>
      <w:bCs/>
      <w:caps/>
      <w:sz w:val="20"/>
      <w:szCs w:val="20"/>
    </w:rPr>
  </w:style>
  <w:style w:type="paragraph" w:styleId="TOC2">
    <w:name w:val="toc 2"/>
    <w:basedOn w:val="Normal"/>
    <w:next w:val="Normal"/>
    <w:uiPriority w:val="39"/>
    <w:qFormat/>
    <w:pPr>
      <w:spacing w:line="240" w:lineRule="auto"/>
      <w:ind w:left="210"/>
      <w:jc w:val="left"/>
    </w:pPr>
    <w:rPr>
      <w:rFonts w:ascii="Calibri" w:eastAsia="宋体" w:hAnsi="Calibri" w:cs="Calibri"/>
      <w:smallCaps/>
      <w:sz w:val="20"/>
      <w:szCs w:val="20"/>
    </w:r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CommentSubject">
    <w:name w:val="annotation subject"/>
    <w:basedOn w:val="CommentText"/>
    <w:next w:val="CommentText"/>
    <w:link w:val="a18"/>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14:textFill>
        <w14:solidFill>
          <w14:schemeClr w14:val="folHlink"/>
        </w14:solidFill>
      </w14:textFill>
    </w:rPr>
  </w:style>
  <w:style w:type="character" w:styleId="Hyperlink">
    <w:name w:val="Hyperlink"/>
    <w:basedOn w:val="DefaultParagraphFont"/>
    <w:uiPriority w:val="99"/>
    <w:unhideWhenUsed/>
    <w:qFormat/>
    <w:rPr>
      <w:color w:val="0000FF"/>
      <w:u w:val="single"/>
    </w:rPr>
  </w:style>
  <w:style w:type="character" w:styleId="CommentReference">
    <w:name w:val="annotation reference"/>
    <w:basedOn w:val="DefaultParagraphFont"/>
    <w:uiPriority w:val="99"/>
    <w:semiHidden/>
    <w:unhideWhenUsed/>
    <w:qFormat/>
    <w:rPr>
      <w:sz w:val="21"/>
      <w:szCs w:val="21"/>
    </w:rPr>
  </w:style>
  <w:style w:type="character" w:customStyle="1" w:styleId="1">
    <w:name w:val="标题 1 字符"/>
    <w:basedOn w:val="DefaultParagraphFont"/>
    <w:link w:val="Heading1"/>
    <w:uiPriority w:val="9"/>
    <w:qFormat/>
    <w:rPr>
      <w:b/>
      <w:bCs/>
      <w:kern w:val="44"/>
      <w:sz w:val="44"/>
      <w:szCs w:val="44"/>
    </w:rPr>
  </w:style>
  <w:style w:type="paragraph" w:styleId="ListParagraph">
    <w:name w:val="List Paragraph"/>
    <w:basedOn w:val="Normal"/>
    <w:link w:val="a11"/>
    <w:uiPriority w:val="99"/>
    <w:qFormat/>
    <w:pPr>
      <w:ind w:firstLine="420"/>
    </w:pPr>
  </w:style>
  <w:style w:type="character" w:customStyle="1" w:styleId="a">
    <w:name w:val="无间隔 字符"/>
    <w:link w:val="NoSpacing"/>
    <w:uiPriority w:val="1"/>
    <w:qFormat/>
    <w:rPr>
      <w:rFonts w:ascii="Calibri" w:hAnsi="Calibri"/>
      <w:sz w:val="22"/>
    </w:rPr>
  </w:style>
  <w:style w:type="paragraph" w:styleId="NoSpacing">
    <w:name w:val="No Spacing"/>
    <w:link w:val="a"/>
    <w:uiPriority w:val="1"/>
    <w:qFormat/>
    <w:rPr>
      <w:rFonts w:ascii="Calibri" w:hAnsi="Calibri" w:eastAsiaTheme="minorEastAsia" w:cstheme="minorBidi"/>
      <w:kern w:val="2"/>
      <w:sz w:val="22"/>
      <w:szCs w:val="22"/>
      <w:lang w:val="en-US" w:eastAsia="zh-CN" w:bidi="ar-SA"/>
    </w:rPr>
  </w:style>
  <w:style w:type="character" w:customStyle="1" w:styleId="a0">
    <w:name w:val="页眉 字符"/>
    <w:basedOn w:val="DefaultParagraphFont"/>
    <w:link w:val="Header"/>
    <w:uiPriority w:val="99"/>
    <w:qFormat/>
    <w:rPr>
      <w:sz w:val="18"/>
      <w:szCs w:val="18"/>
    </w:rPr>
  </w:style>
  <w:style w:type="character" w:customStyle="1" w:styleId="a1">
    <w:name w:val="页脚 字符"/>
    <w:basedOn w:val="DefaultParagraphFont"/>
    <w:link w:val="Footer"/>
    <w:uiPriority w:val="99"/>
    <w:qFormat/>
    <w:rPr>
      <w:sz w:val="18"/>
      <w:szCs w:val="18"/>
    </w:rPr>
  </w:style>
  <w:style w:type="paragraph" w:customStyle="1" w:styleId="a2">
    <w:name w:val="三级条标题"/>
    <w:basedOn w:val="a3"/>
    <w:next w:val="a6"/>
    <w:qFormat/>
    <w:pPr>
      <w:numPr>
        <w:ilvl w:val="4"/>
      </w:numPr>
      <w:outlineLvl w:val="4"/>
    </w:pPr>
  </w:style>
  <w:style w:type="paragraph" w:customStyle="1" w:styleId="a3">
    <w:name w:val="二级条标题"/>
    <w:basedOn w:val="a4"/>
    <w:next w:val="a6"/>
    <w:qFormat/>
    <w:pPr>
      <w:numPr>
        <w:ilvl w:val="3"/>
      </w:numPr>
      <w:outlineLvl w:val="3"/>
    </w:pPr>
  </w:style>
  <w:style w:type="paragraph" w:customStyle="1" w:styleId="a4">
    <w:name w:val="一级条标题"/>
    <w:basedOn w:val="a5"/>
    <w:next w:val="a6"/>
    <w:qFormat/>
    <w:pPr>
      <w:numPr>
        <w:ilvl w:val="2"/>
      </w:numPr>
      <w:spacing w:before="0" w:after="0"/>
      <w:outlineLvl w:val="2"/>
    </w:pPr>
  </w:style>
  <w:style w:type="paragraph" w:customStyle="1" w:styleId="a5">
    <w:name w:val="章标题"/>
    <w:next w:val="a6"/>
    <w:qFormat/>
    <w:pPr>
      <w:numPr>
        <w:ilvl w:val="1"/>
        <w:numId w:val="1"/>
      </w:numPr>
      <w:spacing w:before="50" w:after="50"/>
      <w:jc w:val="both"/>
      <w:outlineLvl w:val="1"/>
    </w:pPr>
    <w:rPr>
      <w:rFonts w:ascii="黑体" w:eastAsia="黑体" w:hAnsi="Times New Roman" w:cs="Times New Roman"/>
      <w:sz w:val="21"/>
      <w:lang w:val="en-US" w:eastAsia="zh-CN" w:bidi="ar-SA"/>
    </w:rPr>
  </w:style>
  <w:style w:type="paragraph" w:customStyle="1" w:styleId="a6">
    <w:name w:val="段"/>
    <w:qFormat/>
    <w:pPr>
      <w:autoSpaceDE w:val="0"/>
      <w:autoSpaceDN w:val="0"/>
      <w:ind w:firstLine="200" w:firstLineChars="200"/>
      <w:jc w:val="both"/>
    </w:pPr>
    <w:rPr>
      <w:rFonts w:ascii="Arial" w:eastAsia="宋体" w:hAnsi="Arial" w:cs="Times New Roman"/>
      <w:sz w:val="21"/>
      <w:lang w:val="en-US" w:eastAsia="zh-CN" w:bidi="ar-SA"/>
    </w:rPr>
  </w:style>
  <w:style w:type="paragraph" w:customStyle="1" w:styleId="a7">
    <w:name w:val="可研正文"/>
    <w:basedOn w:val="a8"/>
    <w:qFormat/>
    <w:pPr>
      <w:snapToGrid w:val="0"/>
      <w:spacing w:before="100" w:line="360" w:lineRule="auto"/>
      <w:ind w:firstLine="480"/>
    </w:pPr>
    <w:rPr>
      <w:rFonts w:ascii="宋体" w:hAnsi="宋体"/>
      <w:sz w:val="24"/>
      <w:szCs w:val="24"/>
    </w:rPr>
  </w:style>
  <w:style w:type="paragraph" w:customStyle="1" w:styleId="a8">
    <w:name w:val="文档正文"/>
    <w:basedOn w:val="Normal"/>
    <w:link w:val="Char"/>
    <w:qFormat/>
    <w:pPr>
      <w:adjustRightInd w:val="0"/>
      <w:spacing w:line="480" w:lineRule="atLeast"/>
      <w:ind w:firstLine="567"/>
      <w:textAlignment w:val="baseline"/>
    </w:pPr>
    <w:rPr>
      <w:rFonts w:ascii="长城仿宋"/>
      <w:kern w:val="0"/>
      <w:sz w:val="28"/>
    </w:rPr>
  </w:style>
  <w:style w:type="paragraph" w:customStyle="1" w:styleId="10">
    <w:name w:val="列出段落1"/>
    <w:basedOn w:val="Normal"/>
    <w:uiPriority w:val="34"/>
    <w:qFormat/>
    <w:pPr>
      <w:ind w:firstLine="420"/>
    </w:pPr>
    <w:rPr>
      <w:rFonts w:ascii="Calibri" w:hAnsi="Calibri"/>
    </w:rPr>
  </w:style>
  <w:style w:type="paragraph" w:customStyle="1" w:styleId="TableParagraph">
    <w:name w:val="Table Paragraph"/>
    <w:basedOn w:val="Normal"/>
    <w:uiPriority w:val="1"/>
    <w:unhideWhenUsed/>
    <w:qFormat/>
    <w:rPr>
      <w:sz w:val="24"/>
    </w:rPr>
  </w:style>
  <w:style w:type="character" w:customStyle="1" w:styleId="font11">
    <w:name w:val="font11"/>
    <w:basedOn w:val="DefaultParagraphFont"/>
    <w:qFormat/>
    <w:rPr>
      <w:rFonts w:ascii="宋体" w:eastAsia="宋体" w:hAnsi="宋体" w:cs="宋体" w:hint="eastAsia"/>
      <w:color w:val="000000"/>
      <w:sz w:val="22"/>
      <w:szCs w:val="22"/>
      <w:u w:val="none"/>
    </w:rPr>
  </w:style>
  <w:style w:type="character" w:customStyle="1" w:styleId="font01">
    <w:name w:val="font01"/>
    <w:basedOn w:val="DefaultParagraphFont"/>
    <w:qFormat/>
    <w:rPr>
      <w:rFonts w:ascii="宋体" w:eastAsia="宋体" w:hAnsi="宋体" w:cs="宋体" w:hint="eastAsia"/>
      <w:color w:val="000000"/>
      <w:sz w:val="22"/>
      <w:szCs w:val="22"/>
      <w:u w:val="none"/>
    </w:rPr>
  </w:style>
  <w:style w:type="character" w:customStyle="1" w:styleId="6">
    <w:name w:val="标题 6 字符"/>
    <w:link w:val="Heading6"/>
    <w:qFormat/>
    <w:rPr>
      <w:rFonts w:ascii="Arial" w:eastAsia="黑体" w:hAnsi="Arial"/>
      <w:b/>
      <w:sz w:val="24"/>
    </w:rPr>
  </w:style>
  <w:style w:type="character" w:customStyle="1" w:styleId="a9">
    <w:name w:val="批注框文本 字符"/>
    <w:basedOn w:val="DefaultParagraphFont"/>
    <w:link w:val="BalloonText"/>
    <w:uiPriority w:val="99"/>
    <w:semiHidden/>
    <w:qFormat/>
    <w:rPr>
      <w:kern w:val="2"/>
      <w:sz w:val="18"/>
      <w:szCs w:val="18"/>
    </w:rPr>
  </w:style>
  <w:style w:type="character" w:customStyle="1" w:styleId="2">
    <w:name w:val="标题 2 字符"/>
    <w:basedOn w:val="DefaultParagraphFont"/>
    <w:link w:val="Heading2"/>
    <w:uiPriority w:val="9"/>
    <w:qFormat/>
    <w:rPr>
      <w:rFonts w:ascii="Microsoft JhengHei" w:eastAsia="Microsoft JhengHei" w:hAnsi="Microsoft JhengHei"/>
      <w:b/>
      <w:kern w:val="2"/>
      <w:sz w:val="24"/>
      <w:szCs w:val="22"/>
    </w:rPr>
  </w:style>
  <w:style w:type="character" w:customStyle="1" w:styleId="3">
    <w:name w:val="标题 3 字符"/>
    <w:basedOn w:val="DefaultParagraphFont"/>
    <w:link w:val="Heading3"/>
    <w:qFormat/>
    <w:rPr>
      <w:b/>
      <w:kern w:val="2"/>
      <w:sz w:val="32"/>
      <w:szCs w:val="22"/>
    </w:rPr>
  </w:style>
  <w:style w:type="character" w:customStyle="1" w:styleId="a10">
    <w:name w:val="日期 字符"/>
    <w:basedOn w:val="DefaultParagraphFont"/>
    <w:link w:val="Date"/>
    <w:uiPriority w:val="99"/>
    <w:semiHidden/>
    <w:qFormat/>
    <w:rPr>
      <w:kern w:val="2"/>
      <w:sz w:val="21"/>
      <w:szCs w:val="22"/>
    </w:rPr>
  </w:style>
  <w:style w:type="character" w:customStyle="1" w:styleId="a11">
    <w:name w:val="列表段落 字符"/>
    <w:link w:val="ListParagraph"/>
    <w:uiPriority w:val="99"/>
    <w:qFormat/>
    <w:locked/>
    <w:rPr>
      <w:kern w:val="2"/>
      <w:sz w:val="21"/>
      <w:szCs w:val="22"/>
    </w:rPr>
  </w:style>
  <w:style w:type="character" w:customStyle="1" w:styleId="Char">
    <w:name w:val="文档正文 Char"/>
    <w:link w:val="a8"/>
    <w:qFormat/>
    <w:locked/>
    <w:rPr>
      <w:rFonts w:ascii="长城仿宋"/>
      <w:sz w:val="28"/>
      <w:szCs w:val="22"/>
    </w:rPr>
  </w:style>
  <w:style w:type="paragraph" w:customStyle="1" w:styleId="4-">
    <w:name w:val="表4-"/>
    <w:basedOn w:val="Normal"/>
    <w:qFormat/>
    <w:pPr>
      <w:numPr>
        <w:ilvl w:val="0"/>
        <w:numId w:val="2"/>
      </w:numPr>
      <w:tabs>
        <w:tab w:val="left" w:pos="1021"/>
      </w:tabs>
      <w:spacing w:line="240" w:lineRule="auto"/>
      <w:ind w:firstLine="0" w:firstLineChars="0"/>
      <w:jc w:val="center"/>
    </w:pPr>
    <w:rPr>
      <w:rFonts w:ascii="仿宋" w:eastAsia="仿宋" w:hAnsi="仿宋" w:cs="Times New Roman"/>
      <w:color w:val="000000"/>
      <w:sz w:val="20"/>
      <w:szCs w:val="20"/>
    </w:rPr>
  </w:style>
  <w:style w:type="paragraph" w:customStyle="1" w:styleId="TOC10">
    <w:name w:val="TOC 标题1"/>
    <w:basedOn w:val="Heading1"/>
    <w:next w:val="Normal"/>
    <w:uiPriority w:val="39"/>
    <w:unhideWhenUsed/>
    <w:qFormat/>
    <w:pPr>
      <w:widowControl/>
      <w:spacing w:before="480" w:after="0" w:line="276" w:lineRule="auto"/>
      <w:ind w:left="0" w:firstLine="0" w:firstLineChars="0"/>
      <w:jc w:val="left"/>
      <w:outlineLvl w:val="9"/>
    </w:pPr>
    <w:rPr>
      <w:rFonts w:asciiTheme="majorHAnsi" w:eastAsiaTheme="majorEastAsia" w:hAnsiTheme="majorHAnsi" w:cstheme="majorBidi"/>
      <w:color w:val="376092" w:themeColor="accent1" w:themeShade="BF"/>
      <w:kern w:val="0"/>
      <w:sz w:val="28"/>
      <w:szCs w:val="28"/>
    </w:rPr>
  </w:style>
  <w:style w:type="character" w:customStyle="1" w:styleId="8">
    <w:name w:val="标题 8 字符"/>
    <w:basedOn w:val="DefaultParagraphFont"/>
    <w:link w:val="Heading8"/>
    <w:uiPriority w:val="9"/>
    <w:semiHidden/>
    <w:qFormat/>
    <w:rPr>
      <w:rFonts w:asciiTheme="majorHAnsi" w:eastAsiaTheme="majorEastAsia" w:hAnsiTheme="majorHAnsi" w:cstheme="majorBidi"/>
      <w:kern w:val="2"/>
      <w:sz w:val="24"/>
      <w:szCs w:val="24"/>
    </w:rPr>
  </w:style>
  <w:style w:type="character" w:customStyle="1" w:styleId="9">
    <w:name w:val="标题 9 字符"/>
    <w:basedOn w:val="DefaultParagraphFont"/>
    <w:link w:val="Heading9"/>
    <w:qFormat/>
    <w:rPr>
      <w:rFonts w:ascii="Times New Roman" w:eastAsia="宋体" w:hAnsi="Times New Roman" w:cs="Times New Roman"/>
      <w:b/>
      <w:kern w:val="2"/>
      <w:sz w:val="24"/>
      <w:szCs w:val="24"/>
    </w:rPr>
  </w:style>
  <w:style w:type="paragraph" w:customStyle="1" w:styleId="a12">
    <w:name w:val="表格内容五号"/>
    <w:basedOn w:val="Normal"/>
    <w:link w:val="Char0"/>
    <w:qFormat/>
    <w:pPr>
      <w:spacing w:line="240" w:lineRule="auto"/>
      <w:ind w:left="0" w:firstLine="0" w:firstLineChars="0"/>
      <w:jc w:val="center"/>
    </w:pPr>
    <w:rPr>
      <w:rFonts w:ascii="Times New Roman" w:eastAsia="宋体" w:hAnsi="Times New Roman" w:cs="Arial Unicode MS"/>
      <w:kern w:val="0"/>
      <w:szCs w:val="21"/>
    </w:rPr>
  </w:style>
  <w:style w:type="character" w:customStyle="1" w:styleId="Char0">
    <w:name w:val="表格内容五号 Char"/>
    <w:link w:val="a12"/>
    <w:qFormat/>
    <w:rPr>
      <w:rFonts w:ascii="Times New Roman" w:eastAsia="宋体" w:hAnsi="Times New Roman" w:cs="Arial Unicode MS"/>
      <w:sz w:val="21"/>
      <w:szCs w:val="21"/>
    </w:rPr>
  </w:style>
  <w:style w:type="paragraph" w:customStyle="1" w:styleId="Body">
    <w:name w:val="Body正文"/>
    <w:basedOn w:val="Normal"/>
    <w:link w:val="BodyChar"/>
    <w:qFormat/>
    <w:pPr>
      <w:spacing w:after="240" w:line="360" w:lineRule="auto"/>
      <w:ind w:left="0" w:right="238"/>
      <w:contextualSpacing/>
      <w:textAlignment w:val="baseline"/>
    </w:pPr>
    <w:rPr>
      <w:rFonts w:ascii="Times New Roman" w:eastAsia="宋体" w:hAnsi="Times New Roman" w:cs="Times New Roman"/>
      <w:color w:val="000000"/>
      <w:kern w:val="0"/>
      <w:sz w:val="24"/>
      <w:szCs w:val="28"/>
    </w:rPr>
  </w:style>
  <w:style w:type="character" w:customStyle="1" w:styleId="BodyChar">
    <w:name w:val="Body正文 Char"/>
    <w:link w:val="Body"/>
    <w:qFormat/>
    <w:rPr>
      <w:rFonts w:ascii="Times New Roman" w:eastAsia="宋体" w:hAnsi="Times New Roman" w:cs="Times New Roman"/>
      <w:color w:val="000000"/>
      <w:sz w:val="24"/>
      <w:szCs w:val="28"/>
    </w:rPr>
  </w:style>
  <w:style w:type="character" w:customStyle="1" w:styleId="a13">
    <w:name w:val="题注 字符"/>
    <w:link w:val="Caption"/>
    <w:qFormat/>
    <w:rPr>
      <w:rFonts w:ascii="Cambria" w:eastAsia="黑体" w:hAnsi="Cambria" w:cs="Times New Roman"/>
      <w:kern w:val="2"/>
    </w:rPr>
  </w:style>
  <w:style w:type="paragraph" w:customStyle="1" w:styleId="a14">
    <w:name w:val="图片居中"/>
    <w:basedOn w:val="Normal"/>
    <w:qFormat/>
    <w:pPr>
      <w:spacing w:line="360" w:lineRule="auto"/>
      <w:ind w:left="0" w:firstLine="0" w:firstLineChars="0"/>
      <w:jc w:val="center"/>
    </w:pPr>
    <w:rPr>
      <w:rFonts w:ascii="Times New Roman" w:eastAsia="宋体" w:hAnsi="Times New Roman" w:cs="宋体"/>
      <w:sz w:val="24"/>
      <w:szCs w:val="20"/>
    </w:rPr>
  </w:style>
  <w:style w:type="character" w:customStyle="1" w:styleId="a15">
    <w:name w:val="文档结构图 字符"/>
    <w:basedOn w:val="DefaultParagraphFont"/>
    <w:link w:val="DocumentMap"/>
    <w:uiPriority w:val="99"/>
    <w:semiHidden/>
    <w:qFormat/>
    <w:rPr>
      <w:rFonts w:ascii="宋体" w:eastAsia="宋体"/>
      <w:kern w:val="2"/>
      <w:sz w:val="18"/>
      <w:szCs w:val="18"/>
    </w:rPr>
  </w:style>
  <w:style w:type="character" w:customStyle="1" w:styleId="7">
    <w:name w:val="标题 7 字符"/>
    <w:basedOn w:val="DefaultParagraphFont"/>
    <w:link w:val="Heading7"/>
    <w:qFormat/>
    <w:rPr>
      <w:b/>
      <w:kern w:val="2"/>
      <w:sz w:val="24"/>
      <w:szCs w:val="22"/>
    </w:rPr>
  </w:style>
  <w:style w:type="character" w:customStyle="1" w:styleId="a16">
    <w:name w:val="正文缩进 字符"/>
    <w:link w:val="NormalIndent"/>
    <w:qFormat/>
    <w:rPr>
      <w:rFonts w:ascii="Times New Roman" w:eastAsia="宋体" w:hAnsi="Times New Roman" w:cs="Times New Roman"/>
      <w:kern w:val="2"/>
      <w:sz w:val="24"/>
      <w:szCs w:val="24"/>
      <w:lang w:val="zh-CN" w:eastAsia="zh-CN"/>
    </w:rPr>
  </w:style>
  <w:style w:type="character" w:customStyle="1" w:styleId="11">
    <w:name w:val="未处理的提及1"/>
    <w:basedOn w:val="DefaultParagraphFont"/>
    <w:uiPriority w:val="99"/>
    <w:semiHidden/>
    <w:unhideWhenUsed/>
    <w:qFormat/>
    <w:rPr>
      <w:color w:val="605E5C"/>
      <w:shd w:val="clear" w:color="auto" w:fill="E1DFDD"/>
    </w:rPr>
  </w:style>
  <w:style w:type="character" w:customStyle="1" w:styleId="a17">
    <w:name w:val="批注文字 字符"/>
    <w:basedOn w:val="DefaultParagraphFont"/>
    <w:link w:val="CommentText"/>
    <w:uiPriority w:val="99"/>
    <w:semiHidden/>
    <w:qFormat/>
    <w:rPr>
      <w:rFonts w:asciiTheme="minorHAnsi" w:eastAsiaTheme="minorEastAsia" w:hAnsiTheme="minorHAnsi" w:cstheme="minorBidi"/>
      <w:kern w:val="2"/>
      <w:sz w:val="21"/>
      <w:szCs w:val="22"/>
    </w:rPr>
  </w:style>
  <w:style w:type="character" w:customStyle="1" w:styleId="a18">
    <w:name w:val="批注主题 字符"/>
    <w:basedOn w:val="a17"/>
    <w:link w:val="CommentSubject"/>
    <w:uiPriority w:val="99"/>
    <w:semiHidden/>
    <w:qFormat/>
    <w:rPr>
      <w:rFonts w:asciiTheme="minorHAnsi" w:eastAsiaTheme="minorEastAsia" w:hAnsiTheme="minorHAnsi" w:cstheme="minorBidi"/>
      <w:b/>
      <w:bCs/>
      <w:kern w:val="2"/>
      <w:sz w:val="21"/>
      <w:szCs w:val="22"/>
    </w:rPr>
  </w:style>
  <w:style w:type="paragraph" w:customStyle="1" w:styleId="a19">
    <w:name w:val="题目"/>
    <w:basedOn w:val="Title"/>
    <w:next w:val="BodyText"/>
    <w:qFormat/>
    <w:pPr>
      <w:widowControl/>
      <w:spacing w:before="31" w:after="31" w:line="600" w:lineRule="exact"/>
      <w:ind w:left="-158" w:leftChars="-75"/>
      <w:outlineLvl w:val="9"/>
    </w:pPr>
    <w:rPr>
      <w:rFonts w:ascii="Times New Roman" w:eastAsia="黑体" w:hAnsi="Times New Roman"/>
      <w:b w:val="0"/>
    </w:rPr>
  </w:style>
  <w:style w:type="character" w:customStyle="1" w:styleId="font31">
    <w:name w:val="font31"/>
    <w:basedOn w:val="DefaultParagraphFont"/>
    <w:rPr>
      <w:rFonts w:ascii="Calibri" w:hAnsi="Calibri" w:cs="Calibri" w:hint="default"/>
      <w:color w:val="000000"/>
      <w:sz w:val="21"/>
      <w:szCs w:val="21"/>
      <w:u w:val="none"/>
    </w:rPr>
  </w:style>
  <w:style w:type="character" w:customStyle="1" w:styleId="font21">
    <w:name w:val="font21"/>
    <w:basedOn w:val="DefaultParagraphFont"/>
    <w:rPr>
      <w:rFonts w:ascii="宋体" w:eastAsia="宋体" w:hAnsi="宋体" w:cs="宋体" w:hint="eastAsia"/>
      <w:color w:val="000000"/>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jpeg" /><Relationship Id="rId11" Type="http://schemas.openxmlformats.org/officeDocument/2006/relationships/image" Target="media/image3.png" /><Relationship Id="rId12" Type="http://schemas.openxmlformats.org/officeDocument/2006/relationships/header" Target="header2.xml" /><Relationship Id="rId13" Type="http://schemas.openxmlformats.org/officeDocument/2006/relationships/footer" Target="footer3.xml" /><Relationship Id="rId14" Type="http://schemas.openxmlformats.org/officeDocument/2006/relationships/footer" Target="footer4.xml" /><Relationship Id="rId15" Type="http://schemas.openxmlformats.org/officeDocument/2006/relationships/chart" Target="charts/chart1.xml" /><Relationship Id="rId16" Type="http://schemas.openxmlformats.org/officeDocument/2006/relationships/image" Target="media/image4.png" /><Relationship Id="rId17" Type="http://schemas.openxmlformats.org/officeDocument/2006/relationships/image" Target="media/image5.png" /><Relationship Id="rId18" Type="http://schemas.openxmlformats.org/officeDocument/2006/relationships/image" Target="media/image6.png" /><Relationship Id="rId19" Type="http://schemas.openxmlformats.org/officeDocument/2006/relationships/image" Target="media/image7.png" /><Relationship Id="rId2" Type="http://schemas.openxmlformats.org/officeDocument/2006/relationships/webSettings" Target="webSettings.xml" /><Relationship Id="rId20" Type="http://schemas.openxmlformats.org/officeDocument/2006/relationships/image" Target="media/image8.emf" /><Relationship Id="rId21" Type="http://schemas.openxmlformats.org/officeDocument/2006/relationships/image" Target="media/image9.png" /><Relationship Id="rId22" Type="http://schemas.openxmlformats.org/officeDocument/2006/relationships/image" Target="media/image10.emf" /><Relationship Id="rId23" Type="http://schemas.openxmlformats.org/officeDocument/2006/relationships/image" Target="media/image11.jpeg" /><Relationship Id="rId24" Type="http://schemas.openxmlformats.org/officeDocument/2006/relationships/image" Target="media/image12.emf" /><Relationship Id="rId25" Type="http://schemas.openxmlformats.org/officeDocument/2006/relationships/oleObject" Target="embeddings/oleObject1.bin" /><Relationship Id="rId26" Type="http://schemas.openxmlformats.org/officeDocument/2006/relationships/image" Target="media/image13.jpeg" /><Relationship Id="rId27" Type="http://schemas.openxmlformats.org/officeDocument/2006/relationships/image" Target="media/image14.jpeg" /><Relationship Id="rId28" Type="http://schemas.openxmlformats.org/officeDocument/2006/relationships/image" Target="media/image15.jpeg" /><Relationship Id="rId29" Type="http://schemas.openxmlformats.org/officeDocument/2006/relationships/image" Target="media/image16.jpeg" /><Relationship Id="rId3" Type="http://schemas.openxmlformats.org/officeDocument/2006/relationships/fontTable" Target="fontTable.xml" /><Relationship Id="rId30" Type="http://schemas.openxmlformats.org/officeDocument/2006/relationships/image" Target="media/image17.jpeg" /><Relationship Id="rId31" Type="http://schemas.openxmlformats.org/officeDocument/2006/relationships/image" Target="media/image18.emf" /><Relationship Id="rId32" Type="http://schemas.openxmlformats.org/officeDocument/2006/relationships/image" Target="media/image19.jpeg" /><Relationship Id="rId33" Type="http://schemas.openxmlformats.org/officeDocument/2006/relationships/image" Target="media/image20.jpeg" /><Relationship Id="rId34" Type="http://schemas.openxmlformats.org/officeDocument/2006/relationships/image" Target="media/image21.emf" /><Relationship Id="rId35" Type="http://schemas.openxmlformats.org/officeDocument/2006/relationships/image" Target="media/image22.jpeg" /><Relationship Id="rId36" Type="http://schemas.openxmlformats.org/officeDocument/2006/relationships/image" Target="media/image23.emf" /><Relationship Id="rId37" Type="http://schemas.openxmlformats.org/officeDocument/2006/relationships/image" Target="media/image24.jpeg" /><Relationship Id="rId38" Type="http://schemas.openxmlformats.org/officeDocument/2006/relationships/image" Target="media/image25.png" /><Relationship Id="rId39" Type="http://schemas.openxmlformats.org/officeDocument/2006/relationships/image" Target="media/image26.emf" /><Relationship Id="rId4" Type="http://schemas.openxmlformats.org/officeDocument/2006/relationships/customXml" Target="../customXml/item1.xml" /><Relationship Id="rId40" Type="http://schemas.openxmlformats.org/officeDocument/2006/relationships/image" Target="media/image27.png" /><Relationship Id="rId41" Type="http://schemas.openxmlformats.org/officeDocument/2006/relationships/image" Target="media/image28.png" /><Relationship Id="rId42" Type="http://schemas.openxmlformats.org/officeDocument/2006/relationships/image" Target="media/image29.png" /><Relationship Id="rId43" Type="http://schemas.openxmlformats.org/officeDocument/2006/relationships/image" Target="media/image30.png" /><Relationship Id="rId44" Type="http://schemas.openxmlformats.org/officeDocument/2006/relationships/image" Target="media/image31.png" /><Relationship Id="rId45" Type="http://schemas.openxmlformats.org/officeDocument/2006/relationships/image" Target="media/image32.png" /><Relationship Id="rId46" Type="http://schemas.openxmlformats.org/officeDocument/2006/relationships/image" Target="media/image33.jpeg" /><Relationship Id="rId47" Type="http://schemas.openxmlformats.org/officeDocument/2006/relationships/image" Target="media/image34.png" /><Relationship Id="rId48" Type="http://schemas.openxmlformats.org/officeDocument/2006/relationships/image" Target="media/image35.png" /><Relationship Id="rId49" Type="http://schemas.openxmlformats.org/officeDocument/2006/relationships/footer" Target="footer5.xml" /><Relationship Id="rId5" Type="http://schemas.openxmlformats.org/officeDocument/2006/relationships/customXml" Target="../customXml/item2.xml" /><Relationship Id="rId50" Type="http://schemas.openxmlformats.org/officeDocument/2006/relationships/header" Target="header3.xml" /><Relationship Id="rId51" Type="http://schemas.openxmlformats.org/officeDocument/2006/relationships/footer" Target="footer6.xml" /><Relationship Id="rId52" Type="http://schemas.openxmlformats.org/officeDocument/2006/relationships/theme" Target="theme/theme1.xml" /><Relationship Id="rId53" Type="http://schemas.openxmlformats.org/officeDocument/2006/relationships/numbering" Target="numbering.xml" /><Relationship Id="rId54" Type="http://schemas.openxmlformats.org/officeDocument/2006/relationships/styles" Target="styles.xml" /><Relationship Id="rId6" Type="http://schemas.openxmlformats.org/officeDocument/2006/relationships/image" Target="media/image1.jpe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footer" Target="footer2.xml" /></Relationships>
</file>

<file path=word/charts/_rels/chart1.xml.rels>&#65279;<?xml version="1.0" encoding="utf-8" standalone="yes"?><Relationships xmlns="http://schemas.openxmlformats.org/package/2006/relationships"><Relationship Id="rId1" Type="http://schemas.openxmlformats.org/officeDocument/2006/relationships/oleObject" Target="file:///F:\&#24037;&#20316;\2023\W-&#20116;G&#35268;&#21010;\&#39033;&#30446;\&#29577;&#26519;\&#24037;&#20316;&#25104;&#26524;\&#29577;&#26519;&#36890;&#20449;&#22522;&#30784;&#35774;&#26045;&#35268;&#21010;\&#26032;&#24314;%20XLS%20&#24037;&#20316;&#34920;.xls" TargetMode="External" /><Relationship Id="rId2" Type="http://schemas.microsoft.com/office/2011/relationships/chartColorStyle" Target="chart/colors1.xml" /><Relationship Id="rId3" Type="http://schemas.microsoft.com/office/2011/relationships/chartStyle" Target="chart/style1.xml" /></Relationships>
</file>

<file path=word/charts/chart/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1.xml><?xml version="1.0" encoding="utf-8"?>
<c:chartSpace xmlns:c="http://schemas.openxmlformats.org/drawingml/2006/chart" xmlns:a="http://schemas.openxmlformats.org/drawingml/2006/main" xmlns:r="http://schemas.openxmlformats.org/officeDocument/2006/relationships">
  <c:lang val="zh-CN"/>
  <mc:AlternateContent xmlns:mc="http://schemas.openxmlformats.org/markup-compatibility/2006">
    <mc:Choice xmlns:c14="http://schemas.microsoft.com/office/drawing/2007/8/2/chart" Requires="c14">
      <c14:style val="102"/>
    </mc:Choice>
    <mc:Fallback>
      <c:style val="2"/>
    </mc:Fallback>
  </mc:AlternateContent>
  <c:chart>
    <c:autoTitleDeleted val="1"/>
    <c:plotArea>
      <c:lineChart>
        <c:grouping val="standard"/>
        <c:varyColors val="0"/>
        <c:ser>
          <c:idx val="0"/>
          <c:order val="0"/>
          <c:tx>
            <c:strRef>
              <c:f>'[新建 XLS 工作表.xls]Sheet1'!$C$1</c:f>
              <c:strCache>
                <c:ptCount val="1"/>
                <c:pt idx="0">
                  <c:v>4G用户渗透率</c:v>
                </c:pt>
              </c:strCache>
            </c:strRef>
          </c:tx>
          <c:spPr>
            <a:ln w="28575" cap="rnd">
              <a:solidFill>
                <a:schemeClr val="accent1"/>
              </a:solidFill>
              <a:round/>
            </a:ln>
          </c:spPr>
          <c:marker>
            <c:symbol val="circle"/>
            <c:size val="5"/>
            <c:spPr>
              <a:solidFill>
                <a:schemeClr val="accent1"/>
              </a:solidFill>
              <a:ln w="9525">
                <a:solidFill>
                  <a:schemeClr val="accent1"/>
                </a:solidFill>
              </a:ln>
            </c:spPr>
          </c:marker>
          <c:dLbls>
            <c:spPr>
              <a:noFill/>
              <a:ln>
                <a:noFill/>
              </a:ln>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http://schemas.openxmlformats.org/drawingml/2006/chart" xmlns:c15="http://schemas.microsoft.com/office/drawing/2012/chart" uri="{CE6537A1-D6FC-4f65-9D91-7224C49458BB}">
                <c15:layout/>
                <c15:showLeaderLines val="1"/>
                <c15:leaderLines>
                  <c:spPr>
                    <a:ln xmlns:a="http://schemas.openxmlformats.org/drawingml/2006/main" algn="ctr" cap="flat" cmpd="sng" w="9525">
                      <a:solidFill>
                        <a:schemeClr val="tx1">
                          <a:lumMod val="35000"/>
                          <a:lumOff val="65000"/>
                        </a:schemeClr>
                      </a:solidFill>
                      <a:round/>
                    </a:ln>
                    <a:effectLst xmlns:a="http://schemas.openxmlformats.org/drawingml/2006/main"/>
                  </c:spPr>
                </c15:leaderLines>
              </c:ext>
            </c:extLst>
          </c:dLbls>
          <c:cat>
            <c:strRef>
              <c:f>'[新建 XLS 工作表.xls]Sheet1'!$B$2:$B$10</c:f>
              <c:strCache>
                <c:ptCount val="9"/>
                <c:pt idx="0">
                  <c:v>2015年</c:v>
                </c:pt>
                <c:pt idx="1">
                  <c:v>2016年</c:v>
                </c:pt>
                <c:pt idx="2">
                  <c:v>2017年</c:v>
                </c:pt>
                <c:pt idx="3">
                  <c:v>2018年</c:v>
                </c:pt>
                <c:pt idx="4">
                  <c:v>2019年</c:v>
                </c:pt>
                <c:pt idx="5">
                  <c:v>2020年</c:v>
                </c:pt>
                <c:pt idx="6">
                  <c:v>2021年</c:v>
                </c:pt>
                <c:pt idx="7">
                  <c:v>2022年</c:v>
                </c:pt>
                <c:pt idx="8">
                  <c:v>2023年</c:v>
                </c:pt>
              </c:strCache>
            </c:strRef>
          </c:cat>
          <c:val>
            <c:numRef>
              <c:f>'[新建 XLS 工作表.xls]Sheet1'!$C$2:$C$10</c:f>
              <c:numCache>
                <c:formatCode>0%</c:formatCode>
                <c:ptCount val="9"/>
                <c:pt idx="0">
                  <c:v>0.16</c:v>
                </c:pt>
                <c:pt idx="1">
                  <c:v>0.44</c:v>
                </c:pt>
                <c:pt idx="2">
                  <c:v>0.65</c:v>
                </c:pt>
                <c:pt idx="3">
                  <c:v>0.75</c:v>
                </c:pt>
                <c:pt idx="4">
                  <c:v>0.8</c:v>
                </c:pt>
                <c:pt idx="5">
                  <c:v>0.85</c:v>
                </c:pt>
                <c:pt idx="6">
                  <c:v>0.8</c:v>
                </c:pt>
                <c:pt idx="7">
                  <c:v>0.65</c:v>
                </c:pt>
                <c:pt idx="8">
                  <c:v>0.63</c:v>
                </c:pt>
              </c:numCache>
            </c:numRef>
          </c:val>
        </c:ser>
        <c:dLbls>
          <c:showLegendKey val="0"/>
          <c:showVal val="1"/>
          <c:showCatName val="0"/>
          <c:showSerName val="0"/>
          <c:showPercent val="0"/>
          <c:showBubbleSize val="0"/>
        </c:dLbls>
        <c:marker val="1"/>
        <c:smooth val="0"/>
        <c:axId val="116341403"/>
        <c:axId val="336218998"/>
      </c:lineChart>
      <c:catAx>
        <c:axId val="116341403"/>
        <c:scaling>
          <c:orientation val="minMax"/>
        </c:scaling>
        <c:axPos val="b"/>
        <c:majorTickMark val="none"/>
        <c:minorTickMark val="none"/>
        <c:tickLblPos val="nextTo"/>
        <c:spPr>
          <a:noFill/>
          <a:ln w="9525">
            <a:solidFill>
              <a:schemeClr val="tx1">
                <a:lumMod val="15000"/>
                <a:lumOff val="85000"/>
              </a:schemeClr>
            </a:solidFill>
            <a:round/>
          </a:ln>
        </c:spPr>
        <c:txPr>
          <a:bodyPr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6218998"/>
        <c:crosses val="autoZero"/>
        <c:auto val="1"/>
        <c:lblAlgn val="ctr"/>
        <c:lblOffset val="100"/>
      </c:catAx>
      <c:valAx>
        <c:axId val="336218998"/>
        <c:scaling>
          <c:orientation val="minMax"/>
        </c:scaling>
        <c:axPos val="l"/>
        <c:majorGridlines>
          <c:spPr>
            <a:ln w="9525">
              <a:solidFill>
                <a:schemeClr val="tx1">
                  <a:lumMod val="15000"/>
                  <a:lumOff val="85000"/>
                </a:schemeClr>
              </a:solidFill>
              <a:round/>
            </a:ln>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en-US" altLang="zh-CN"/>
                  <a:t>4G</a:t>
                </a:r>
                <a:r>
                  <a:rPr altLang="en-US"/>
                  <a:t>用户渗透率</a:t>
                </a:r>
                <a:endParaRPr lang="en-US" altLang="zh-CN"/>
              </a:p>
            </c:rich>
          </c:tx>
          <c:spPr>
            <a:noFill/>
            <a:ln>
              <a:noFill/>
            </a:ln>
          </c:spPr>
        </c:title>
        <c:numFmt formatCode="0%" sourceLinked="1"/>
        <c:majorTickMark val="none"/>
        <c:minorTickMark val="none"/>
        <c:tickLblPos val="nextTo"/>
        <c:spPr>
          <a:noFill/>
          <a:ln>
            <a:noFill/>
          </a:ln>
        </c:spPr>
        <c:txPr>
          <a:bodyPr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6341403"/>
        <c:crosses val="autoZero"/>
        <c:crossBetween val="between"/>
      </c:valAx>
      <c:spPr>
        <a:noFill/>
        <a:ln>
          <a:noFill/>
        </a:ln>
      </c:spPr>
    </c:plotArea>
    <c:plotVisOnly val="1"/>
    <c:dispBlanksAs val="gap"/>
  </c:chart>
  <c:spPr>
    <a:solidFill>
      <a:schemeClr val="bg1"/>
    </a:solidFill>
    <a:ln w="9525">
      <a:solidFill>
        <a:schemeClr val="tx1">
          <a:lumMod val="15000"/>
          <a:lumOff val="85000"/>
        </a:schemeClr>
      </a:solidFill>
      <a:round/>
    </a:ln>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6D12C5-E52D-4D41-9CA9-B1BE5256A0E8}">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45583</Words>
  <Characters>50887</Characters>
  <Application>Microsoft Office Word</Application>
  <DocSecurity>0</DocSecurity>
  <Lines>352</Lines>
  <Paragraphs>99</Paragraphs>
  <ScaleCrop>false</ScaleCrop>
  <Company>微软中国</Company>
  <LinksUpToDate>false</LinksUpToDate>
  <CharactersWithSpaces>51404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FTS</cp:lastModifiedBy>
  <cp:revision>18</cp:revision>
  <dcterms:created xsi:type="dcterms:W3CDTF">2023-12-12T08:01:00Z</dcterms:created>
  <dcterms:modified xsi:type="dcterms:W3CDTF">2024-04-15T08:14:54Z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3A690E03B8D34E648972D042E2FA63F2</vt:lpwstr>
  </property>
  <property fmtid="{D5CDD505-2E9C-101B-9397-08002B2CF9AE}" pid="3" name="KSOProductBuildVer">
    <vt:lpwstr>2052-11.1.0.11830</vt:lpwstr>
  </property>
</Properties>
</file>