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15.11.0.0 -->
  <w:body>
    <w:p>
      <w:pPr>
        <w:spacing w:line="600" w:lineRule="auto"/>
        <w:rPr>
          <w:rFonts w:ascii="Times New Roman" w:eastAsia="宋体" w:hAnsi="Times New Roman" w:cs="Times New Roman"/>
          <w:b/>
          <w:sz w:val="48"/>
          <w:szCs w:val="48"/>
          <w:highlight w:val="none"/>
          <w:lang w:val="zh-CN"/>
        </w:rPr>
      </w:pPr>
    </w:p>
    <w:p>
      <w:pPr>
        <w:spacing w:line="600" w:lineRule="auto"/>
        <w:jc w:val="center"/>
        <w:rPr>
          <w:rFonts w:ascii="Times New Roman" w:eastAsia="宋体" w:hAnsi="Times New Roman" w:cs="Times New Roman"/>
          <w:b/>
          <w:sz w:val="48"/>
          <w:szCs w:val="48"/>
          <w:highlight w:val="none"/>
          <w:lang w:val="zh-CN"/>
        </w:rPr>
      </w:pPr>
      <w:r>
        <w:rPr>
          <w:rFonts w:ascii="Times New Roman" w:eastAsia="宋体" w:hAnsi="Times New Roman" w:cs="Times New Roman" w:hint="eastAsia"/>
          <w:b/>
          <w:sz w:val="48"/>
          <w:szCs w:val="48"/>
          <w:highlight w:val="none"/>
          <w:lang w:val="zh-CN"/>
        </w:rPr>
        <w:t>广西北海市</w:t>
      </w:r>
      <w:r>
        <w:rPr>
          <w:rFonts w:ascii="Times New Roman" w:eastAsia="宋体" w:hAnsi="Times New Roman" w:cs="Times New Roman" w:hint="eastAsia"/>
          <w:b/>
          <w:sz w:val="48"/>
          <w:szCs w:val="48"/>
          <w:highlight w:val="none"/>
        </w:rPr>
        <w:t>（城区）</w:t>
      </w:r>
      <w:r>
        <w:rPr>
          <w:rFonts w:ascii="Times New Roman" w:eastAsia="宋体" w:hAnsi="Times New Roman" w:cs="Times New Roman" w:hint="eastAsia"/>
          <w:b/>
          <w:sz w:val="48"/>
          <w:szCs w:val="48"/>
          <w:highlight w:val="none"/>
          <w:lang w:val="zh-CN"/>
        </w:rPr>
        <w:t>5G通信基础设施专项规划</w:t>
      </w:r>
    </w:p>
    <w:p>
      <w:pPr>
        <w:spacing w:line="600" w:lineRule="auto"/>
        <w:jc w:val="center"/>
        <w:rPr>
          <w:rFonts w:ascii="宋体" w:eastAsia="宋体" w:hAnsi="宋体" w:cs="宋体"/>
          <w:b/>
          <w:sz w:val="44"/>
          <w:szCs w:val="44"/>
          <w:highlight w:val="none"/>
        </w:rPr>
      </w:pPr>
      <w:r>
        <w:rPr>
          <w:rFonts w:ascii="宋体" w:eastAsia="宋体" w:hAnsi="宋体" w:cs="宋体" w:hint="eastAsia"/>
          <w:b/>
          <w:sz w:val="44"/>
          <w:szCs w:val="44"/>
          <w:highlight w:val="none"/>
          <w:lang w:val="zh-CN"/>
        </w:rPr>
        <w:t>（</w:t>
      </w:r>
      <w:r>
        <w:rPr>
          <w:rFonts w:ascii="宋体" w:eastAsia="宋体" w:hAnsi="宋体" w:cs="宋体" w:hint="eastAsia"/>
          <w:b/>
          <w:sz w:val="44"/>
          <w:szCs w:val="44"/>
          <w:highlight w:val="none"/>
        </w:rPr>
        <w:t>2023-2030</w:t>
      </w:r>
      <w:r>
        <w:rPr>
          <w:rFonts w:ascii="宋体" w:eastAsia="宋体" w:hAnsi="宋体" w:cs="宋体" w:hint="eastAsia"/>
          <w:b/>
          <w:sz w:val="44"/>
          <w:szCs w:val="44"/>
          <w:highlight w:val="none"/>
          <w:lang w:val="en-US" w:eastAsia="zh-CN"/>
        </w:rPr>
        <w:t>年</w:t>
      </w:r>
      <w:r>
        <w:rPr>
          <w:rFonts w:ascii="宋体" w:eastAsia="宋体" w:hAnsi="宋体" w:cs="宋体" w:hint="eastAsia"/>
          <w:b/>
          <w:sz w:val="44"/>
          <w:szCs w:val="44"/>
          <w:highlight w:val="none"/>
          <w:lang w:val="zh-CN"/>
        </w:rPr>
        <w:t>）</w:t>
      </w:r>
    </w:p>
    <w:p>
      <w:pPr>
        <w:pStyle w:val="TOC1"/>
        <w:rPr>
          <w:rFonts w:ascii="Times New Roman" w:eastAsia="宋体" w:hAnsi="Times New Roman"/>
          <w:sz w:val="48"/>
          <w:szCs w:val="48"/>
          <w:highlight w:val="none"/>
        </w:rPr>
      </w:pPr>
    </w:p>
    <w:p>
      <w:pPr>
        <w:rPr>
          <w:highlight w:val="none"/>
        </w:rPr>
      </w:pPr>
    </w:p>
    <w:p>
      <w:pPr>
        <w:rPr>
          <w:highlight w:val="none"/>
        </w:rPr>
      </w:pPr>
    </w:p>
    <w:p>
      <w:pPr>
        <w:rPr>
          <w:highlight w:val="none"/>
        </w:rPr>
      </w:pPr>
    </w:p>
    <w:p>
      <w:pPr>
        <w:rPr>
          <w:highlight w:val="none"/>
        </w:rPr>
      </w:pPr>
    </w:p>
    <w:p>
      <w:pPr>
        <w:jc w:val="center"/>
        <w:rPr>
          <w:rFonts w:ascii="Times New Roman" w:eastAsia="宋体" w:hAnsi="Times New Roman" w:cs="Times New Roman"/>
          <w:b/>
          <w:sz w:val="32"/>
          <w:szCs w:val="32"/>
          <w:highlight w:val="none"/>
        </w:rPr>
      </w:pPr>
      <w:r>
        <w:rPr>
          <w:rFonts w:ascii="Times New Roman" w:eastAsia="宋体" w:hAnsi="Times New Roman" w:cs="Times New Roman" w:hint="eastAsia"/>
          <w:b/>
          <w:sz w:val="32"/>
          <w:szCs w:val="32"/>
          <w:highlight w:val="none"/>
        </w:rPr>
        <w:t xml:space="preserve">         组 织 编 制 单 位：北海市通信发展管理办公室</w:t>
      </w:r>
    </w:p>
    <w:p>
      <w:pPr>
        <w:jc w:val="center"/>
        <w:rPr>
          <w:rFonts w:ascii="Times New Roman" w:eastAsia="宋体" w:hAnsi="Times New Roman" w:cs="Times New Roman"/>
          <w:b/>
          <w:sz w:val="32"/>
          <w:szCs w:val="32"/>
          <w:highlight w:val="none"/>
        </w:rPr>
      </w:pPr>
      <w:r>
        <w:rPr>
          <w:rFonts w:ascii="Times New Roman" w:eastAsia="宋体" w:hAnsi="Times New Roman" w:cs="Times New Roman" w:hint="eastAsia"/>
          <w:b/>
          <w:sz w:val="32"/>
          <w:szCs w:val="32"/>
          <w:highlight w:val="none"/>
        </w:rPr>
        <w:t xml:space="preserve">             参 与 编 制 单 位：中国移动通信集团广西有限公司</w:t>
      </w:r>
    </w:p>
    <w:p>
      <w:pPr>
        <w:jc w:val="center"/>
        <w:rPr>
          <w:rFonts w:ascii="Times New Roman" w:eastAsia="宋体" w:hAnsi="Times New Roman" w:cs="Times New Roman"/>
          <w:b/>
          <w:sz w:val="32"/>
          <w:szCs w:val="32"/>
          <w:highlight w:val="none"/>
        </w:rPr>
      </w:pPr>
      <w:r>
        <w:rPr>
          <w:rFonts w:ascii="Times New Roman" w:eastAsia="宋体" w:hAnsi="Times New Roman" w:cs="Times New Roman" w:hint="eastAsia"/>
          <w:b/>
          <w:sz w:val="32"/>
          <w:szCs w:val="32"/>
          <w:highlight w:val="none"/>
        </w:rPr>
        <w:t xml:space="preserve">                                  中国电信股份有限公司广西分公司</w:t>
      </w:r>
    </w:p>
    <w:p>
      <w:pPr>
        <w:jc w:val="center"/>
        <w:rPr>
          <w:rFonts w:ascii="Times New Roman" w:eastAsia="宋体" w:hAnsi="Times New Roman" w:cs="Times New Roman"/>
          <w:b/>
          <w:sz w:val="32"/>
          <w:szCs w:val="32"/>
          <w:highlight w:val="none"/>
        </w:rPr>
      </w:pPr>
      <w:r>
        <w:rPr>
          <w:rFonts w:ascii="Times New Roman" w:eastAsia="宋体" w:hAnsi="Times New Roman" w:cs="Times New Roman" w:hint="eastAsia"/>
          <w:b/>
          <w:sz w:val="32"/>
          <w:szCs w:val="32"/>
          <w:highlight w:val="none"/>
        </w:rPr>
        <w:t xml:space="preserve">                                          中国联合网络通信集团有限公司广西分公司</w:t>
      </w:r>
    </w:p>
    <w:p>
      <w:pPr>
        <w:jc w:val="center"/>
        <w:rPr>
          <w:rFonts w:ascii="Times New Roman" w:eastAsia="宋体" w:hAnsi="Times New Roman" w:cs="Times New Roman"/>
          <w:b/>
          <w:sz w:val="32"/>
          <w:szCs w:val="32"/>
          <w:highlight w:val="none"/>
        </w:rPr>
      </w:pPr>
      <w:r>
        <w:rPr>
          <w:rFonts w:ascii="Times New Roman" w:eastAsia="宋体" w:hAnsi="Times New Roman" w:cs="Times New Roman" w:hint="eastAsia"/>
          <w:b/>
          <w:sz w:val="32"/>
          <w:szCs w:val="32"/>
          <w:highlight w:val="none"/>
        </w:rPr>
        <w:t xml:space="preserve">                                            中国铁塔股份有限公司广西壮族自治区分公司</w:t>
      </w:r>
    </w:p>
    <w:p>
      <w:pPr>
        <w:jc w:val="center"/>
        <w:rPr>
          <w:rFonts w:ascii="Times New Roman" w:eastAsia="宋体" w:hAnsi="Times New Roman" w:cs="Times New Roman"/>
          <w:b/>
          <w:sz w:val="32"/>
          <w:szCs w:val="32"/>
          <w:highlight w:val="none"/>
        </w:rPr>
      </w:pPr>
      <w:r>
        <w:rPr>
          <w:rFonts w:ascii="Times New Roman" w:eastAsia="宋体" w:hAnsi="Times New Roman" w:cs="Times New Roman" w:hint="eastAsia"/>
          <w:b/>
          <w:sz w:val="32"/>
          <w:szCs w:val="32"/>
          <w:highlight w:val="none"/>
        </w:rPr>
        <w:t xml:space="preserve">         编   制   单   位：华蓝设计（集团）有限公司</w:t>
      </w:r>
    </w:p>
    <w:p>
      <w:pPr>
        <w:jc w:val="center"/>
        <w:rPr>
          <w:rFonts w:ascii="Times New Roman" w:eastAsia="宋体" w:hAnsi="Times New Roman" w:cs="Times New Roman"/>
          <w:b/>
          <w:sz w:val="32"/>
          <w:szCs w:val="32"/>
          <w:highlight w:val="none"/>
        </w:rPr>
      </w:pPr>
      <w:r>
        <w:rPr>
          <w:rFonts w:ascii="Times New Roman" w:eastAsia="宋体" w:hAnsi="Times New Roman" w:cs="Times New Roman" w:hint="eastAsia"/>
          <w:b/>
          <w:sz w:val="32"/>
          <w:szCs w:val="32"/>
          <w:highlight w:val="none"/>
        </w:rPr>
        <w:t xml:space="preserve">                                   </w:t>
      </w:r>
    </w:p>
    <w:p>
      <w:pPr>
        <w:rPr>
          <w:rFonts w:ascii="Times New Roman" w:eastAsia="宋体" w:hAnsi="Times New Roman"/>
          <w:highlight w:val="none"/>
        </w:rPr>
      </w:pPr>
    </w:p>
    <w:p>
      <w:pPr>
        <w:rPr>
          <w:rFonts w:ascii="Times New Roman" w:eastAsia="宋体" w:hAnsi="Times New Roman"/>
          <w:highlight w:val="none"/>
        </w:rPr>
      </w:pPr>
    </w:p>
    <w:p>
      <w:pPr>
        <w:tabs>
          <w:tab w:val="left" w:pos="851"/>
        </w:tabs>
        <w:spacing w:before="114" w:beforeLines="30" w:after="114" w:afterLines="30"/>
        <w:jc w:val="center"/>
        <w:rPr>
          <w:rFonts w:ascii="Times New Roman" w:eastAsia="宋体" w:hAnsi="Times New Roman"/>
          <w:highlight w:val="none"/>
        </w:rPr>
      </w:pPr>
      <w:r>
        <w:rPr>
          <w:rFonts w:ascii="Times New Roman" w:eastAsia="宋体" w:hAnsi="Times New Roman"/>
          <w:highlight w:val="none"/>
        </w:rPr>
        <w:drawing>
          <wp:inline distT="0" distB="0" distL="0" distR="0">
            <wp:extent cx="2940050" cy="485140"/>
            <wp:effectExtent l="0" t="0" r="12700" b="1016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xmlns:r="http://schemas.openxmlformats.org/officeDocument/2006/relationships" r:embed="rId5"/>
                    <a:srcRect l="6548" t="19963" r="14074" b="32843"/>
                    <a:stretch>
                      <a:fillRect/>
                    </a:stretch>
                  </pic:blipFill>
                  <pic:spPr>
                    <a:xfrm>
                      <a:off x="0" y="0"/>
                      <a:ext cx="2940050" cy="485140"/>
                    </a:xfrm>
                    <a:prstGeom prst="rect">
                      <a:avLst/>
                    </a:prstGeom>
                    <a:noFill/>
                    <a:ln>
                      <a:noFill/>
                    </a:ln>
                  </pic:spPr>
                </pic:pic>
              </a:graphicData>
            </a:graphic>
          </wp:inline>
        </w:drawing>
      </w:r>
    </w:p>
    <w:p>
      <w:pPr>
        <w:jc w:val="center"/>
        <w:rPr>
          <w:rFonts w:ascii="Times New Roman" w:eastAsia="宋体" w:hAnsi="Times New Roman"/>
          <w:sz w:val="24"/>
          <w:szCs w:val="24"/>
          <w:highlight w:val="none"/>
        </w:rPr>
      </w:pPr>
      <w:r>
        <w:rPr>
          <w:rFonts w:ascii="Times New Roman" w:eastAsia="宋体" w:hAnsi="Times New Roman" w:hint="eastAsia"/>
          <w:sz w:val="24"/>
          <w:szCs w:val="24"/>
          <w:highlight w:val="none"/>
        </w:rPr>
        <w:t>城乡规划编制资质证书：甲级 自资规甲字21450168</w:t>
      </w:r>
    </w:p>
    <w:p>
      <w:pPr>
        <w:spacing w:line="312" w:lineRule="auto"/>
        <w:jc w:val="center"/>
        <w:rPr>
          <w:rFonts w:ascii="Times New Roman" w:eastAsia="宋体" w:hAnsi="Times New Roman"/>
          <w:sz w:val="24"/>
          <w:szCs w:val="24"/>
          <w:highlight w:val="none"/>
        </w:rPr>
      </w:pPr>
      <w:r>
        <w:rPr>
          <w:rFonts w:ascii="黑体" w:eastAsia="黑体" w:hAnsi="黑体" w:cs="黑体" w:hint="eastAsia"/>
          <w:sz w:val="32"/>
          <w:szCs w:val="32"/>
          <w:highlight w:val="none"/>
        </w:rPr>
        <w:t>2024年0</w:t>
      </w:r>
      <w:r>
        <w:rPr>
          <w:rFonts w:ascii="黑体" w:eastAsia="黑体" w:hAnsi="黑体" w:cs="黑体" w:hint="eastAsia"/>
          <w:sz w:val="32"/>
          <w:szCs w:val="32"/>
          <w:highlight w:val="none"/>
          <w:lang w:val="en-US" w:eastAsia="zh-CN"/>
        </w:rPr>
        <w:t>9</w:t>
      </w:r>
      <w:r>
        <w:rPr>
          <w:rFonts w:ascii="黑体" w:eastAsia="黑体" w:hAnsi="黑体" w:cs="黑体" w:hint="eastAsia"/>
          <w:sz w:val="32"/>
          <w:szCs w:val="32"/>
          <w:highlight w:val="none"/>
        </w:rPr>
        <w:t>月</w:t>
      </w:r>
      <w:r>
        <w:rPr>
          <w:rFonts w:ascii="宋体" w:eastAsia="宋体" w:hAnsi="宋体" w:cs="宋体" w:hint="eastAsia"/>
          <w:b/>
          <w:bCs/>
          <w:sz w:val="32"/>
          <w:szCs w:val="32"/>
          <w:highlight w:val="none"/>
        </w:rPr>
        <w:t xml:space="preserve"> </w:t>
      </w:r>
      <w:r>
        <w:rPr>
          <w:rFonts w:ascii="Times New Roman" w:eastAsia="宋体" w:hAnsi="Times New Roman" w:hint="eastAsia"/>
          <w:sz w:val="28"/>
          <w:szCs w:val="28"/>
          <w:highlight w:val="none"/>
        </w:rPr>
        <w:t xml:space="preserve"> </w:t>
      </w:r>
      <w:r>
        <w:rPr>
          <w:rFonts w:ascii="Times New Roman" w:eastAsia="宋体" w:hAnsi="Times New Roman" w:hint="eastAsia"/>
          <w:sz w:val="24"/>
          <w:szCs w:val="24"/>
          <w:highlight w:val="none"/>
        </w:rPr>
        <w:t xml:space="preserve">        </w:t>
      </w:r>
    </w:p>
    <w:p>
      <w:pPr>
        <w:widowControl/>
        <w:jc w:val="left"/>
        <w:rPr>
          <w:rFonts w:ascii="Times New Roman" w:eastAsia="宋体" w:hAnsi="Times New Roman"/>
          <w:highlight w:val="none"/>
          <w:lang w:val="zh-CN"/>
        </w:rPr>
      </w:pPr>
    </w:p>
    <w:p>
      <w:pPr>
        <w:pStyle w:val="BodyText"/>
        <w:jc w:val="center"/>
        <w:rPr>
          <w:rFonts w:ascii="微软雅黑" w:eastAsia="微软雅黑" w:hAnsi="微软雅黑"/>
          <w:b/>
          <w:sz w:val="44"/>
          <w:highlight w:val="none"/>
        </w:rPr>
      </w:pPr>
      <w:r>
        <w:rPr>
          <w:rFonts w:ascii="微软雅黑" w:eastAsia="微软雅黑" w:hAnsi="微软雅黑" w:hint="eastAsia"/>
          <w:b/>
          <w:sz w:val="44"/>
          <w:highlight w:val="none"/>
        </w:rPr>
        <w:t>广西北海市（城区）5G通信基础设施专项规划</w:t>
      </w:r>
    </w:p>
    <w:p>
      <w:pPr>
        <w:pStyle w:val="BodyText"/>
        <w:jc w:val="center"/>
        <w:rPr>
          <w:b/>
          <w:sz w:val="48"/>
          <w:szCs w:val="48"/>
          <w:highlight w:val="none"/>
        </w:rPr>
      </w:pPr>
      <w:r>
        <w:rPr>
          <w:rFonts w:ascii="微软雅黑" w:eastAsia="微软雅黑" w:hAnsi="微软雅黑" w:hint="eastAsia"/>
          <w:b/>
          <w:sz w:val="44"/>
          <w:highlight w:val="none"/>
          <w:lang w:val="en-US"/>
        </w:rPr>
        <w:t>（2023-2030</w:t>
      </w:r>
      <w:r>
        <w:rPr>
          <w:rFonts w:ascii="微软雅黑" w:eastAsia="微软雅黑" w:hAnsi="微软雅黑" w:hint="eastAsia"/>
          <w:b/>
          <w:sz w:val="44"/>
          <w:highlight w:val="none"/>
          <w:lang w:val="en-US" w:eastAsia="zh-CN"/>
        </w:rPr>
        <w:t>年</w:t>
      </w:r>
      <w:r>
        <w:rPr>
          <w:rFonts w:ascii="微软雅黑" w:eastAsia="微软雅黑" w:hAnsi="微软雅黑" w:hint="eastAsia"/>
          <w:b/>
          <w:sz w:val="44"/>
          <w:highlight w:val="none"/>
          <w:lang w:val="en-US"/>
        </w:rPr>
        <w:t>）</w:t>
      </w:r>
    </w:p>
    <w:p>
      <w:pPr>
        <w:ind w:firstLine="560"/>
        <w:jc w:val="center"/>
        <w:rPr>
          <w:highlight w:val="none"/>
        </w:rPr>
      </w:pPr>
    </w:p>
    <w:p>
      <w:pPr>
        <w:ind w:firstLine="560"/>
        <w:jc w:val="center"/>
        <w:rPr>
          <w:highlight w:val="none"/>
        </w:rPr>
      </w:pPr>
    </w:p>
    <w:p>
      <w:pPr>
        <w:ind w:firstLine="560"/>
        <w:jc w:val="center"/>
        <w:rPr>
          <w:highlight w:val="none"/>
        </w:rPr>
      </w:pPr>
    </w:p>
    <w:p>
      <w:pPr>
        <w:ind w:firstLine="560"/>
        <w:jc w:val="center"/>
        <w:rPr>
          <w:highlight w:val="none"/>
        </w:rPr>
      </w:pPr>
    </w:p>
    <w:p>
      <w:pPr>
        <w:ind w:firstLine="560"/>
        <w:jc w:val="center"/>
        <w:rPr>
          <w:highlight w:val="none"/>
        </w:rPr>
      </w:pPr>
    </w:p>
    <w:p>
      <w:pPr>
        <w:ind w:firstLine="560"/>
        <w:jc w:val="center"/>
        <w:rPr>
          <w:highlight w:val="none"/>
        </w:rPr>
      </w:pPr>
    </w:p>
    <w:p>
      <w:pPr>
        <w:ind w:firstLine="560"/>
        <w:jc w:val="center"/>
        <w:rPr>
          <w:highlight w:val="none"/>
        </w:rPr>
      </w:pPr>
    </w:p>
    <w:p>
      <w:pPr>
        <w:ind w:firstLine="560"/>
        <w:jc w:val="center"/>
        <w:rPr>
          <w:highlight w:val="none"/>
        </w:rPr>
      </w:pP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3019"/>
        <w:gridCol w:w="1113"/>
        <w:gridCol w:w="1881"/>
      </w:tblGrid>
      <w:tr>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jc w:val="center"/>
        </w:trPr>
        <w:tc>
          <w:tcPr>
            <w:tcW w:w="3019" w:type="dxa"/>
            <w:tcBorders>
              <w:top w:val="nil"/>
              <w:left w:val="nil"/>
              <w:bottom w:val="nil"/>
              <w:right w:val="nil"/>
            </w:tcBorders>
            <w:vAlign w:val="bottom"/>
          </w:tcPr>
          <w:p>
            <w:pPr>
              <w:spacing w:line="420" w:lineRule="auto"/>
              <w:ind w:firstLine="0" w:firstLineChars="0"/>
              <w:textAlignment w:val="baseline"/>
              <w:rPr>
                <w:rFonts w:ascii="等线" w:eastAsia="等线" w:hAnsi="等线" w:cs="Times New Roman"/>
                <w:kern w:val="0"/>
                <w:sz w:val="24"/>
                <w:szCs w:val="24"/>
                <w:highlight w:val="none"/>
              </w:rPr>
            </w:pPr>
            <w:r>
              <w:rPr>
                <w:rFonts w:ascii="黑体" w:eastAsia="黑体" w:hAnsi="黑体" w:cs="Times New Roman" w:hint="eastAsia"/>
                <w:spacing w:val="165"/>
                <w:kern w:val="0"/>
                <w:sz w:val="24"/>
                <w:szCs w:val="24"/>
                <w:highlight w:val="none"/>
                <w:fitText w:val="2520" w:id="1821600478"/>
              </w:rPr>
              <w:t>法定代表</w:t>
            </w:r>
            <w:r>
              <w:rPr>
                <w:rFonts w:ascii="黑体" w:eastAsia="黑体" w:hAnsi="黑体" w:cs="Times New Roman" w:hint="eastAsia"/>
                <w:spacing w:val="0"/>
                <w:kern w:val="0"/>
                <w:sz w:val="24"/>
                <w:szCs w:val="24"/>
                <w:highlight w:val="none"/>
                <w:fitText w:val="2520" w:id="1821600478"/>
              </w:rPr>
              <w:t>人</w:t>
            </w:r>
            <w:r>
              <w:rPr>
                <w:rFonts w:ascii="黑体" w:eastAsia="黑体" w:hAnsi="黑体" w:cs="Times New Roman" w:hint="eastAsia"/>
                <w:kern w:val="0"/>
                <w:sz w:val="24"/>
                <w:szCs w:val="24"/>
                <w:highlight w:val="none"/>
              </w:rPr>
              <w:t>：</w:t>
            </w:r>
          </w:p>
        </w:tc>
        <w:tc>
          <w:tcPr>
            <w:tcW w:w="1113" w:type="dxa"/>
            <w:tcBorders>
              <w:top w:val="nil"/>
              <w:left w:val="nil"/>
              <w:bottom w:val="nil"/>
              <w:right w:val="nil"/>
            </w:tcBorders>
            <w:vAlign w:val="bottom"/>
          </w:tcPr>
          <w:p>
            <w:pPr>
              <w:spacing w:line="420" w:lineRule="auto"/>
              <w:ind w:firstLine="0" w:firstLineChars="0"/>
              <w:textAlignment w:val="baseline"/>
              <w:rPr>
                <w:rFonts w:ascii="等线" w:eastAsia="等线" w:hAnsi="等线" w:cs="Times New Roman"/>
                <w:kern w:val="0"/>
                <w:sz w:val="24"/>
                <w:szCs w:val="24"/>
                <w:highlight w:val="none"/>
              </w:rPr>
            </w:pPr>
            <w:r>
              <w:rPr>
                <w:rFonts w:ascii="黑体" w:eastAsia="黑体" w:hAnsi="黑体" w:cs="Times New Roman" w:hint="eastAsia"/>
                <w:kern w:val="0"/>
                <w:sz w:val="24"/>
                <w:szCs w:val="24"/>
                <w:highlight w:val="none"/>
              </w:rPr>
              <w:t>钟  毅</w:t>
            </w:r>
          </w:p>
        </w:tc>
        <w:tc>
          <w:tcPr>
            <w:tcW w:w="1881" w:type="dxa"/>
            <w:tcBorders>
              <w:top w:val="nil"/>
              <w:left w:val="nil"/>
              <w:bottom w:val="single" w:sz="4" w:space="0" w:color="auto"/>
              <w:right w:val="nil"/>
            </w:tcBorders>
            <w:vAlign w:val="bottom"/>
          </w:tcPr>
          <w:p>
            <w:pPr>
              <w:spacing w:line="420" w:lineRule="auto"/>
              <w:ind w:firstLine="420" w:firstLineChars="200"/>
              <w:textAlignment w:val="baseline"/>
              <w:rPr>
                <w:rFonts w:ascii="等线" w:eastAsia="等线" w:hAnsi="等线" w:cs="Times New Roman"/>
                <w:kern w:val="0"/>
                <w:sz w:val="24"/>
                <w:szCs w:val="24"/>
                <w:highlight w:val="none"/>
              </w:rPr>
            </w:pPr>
          </w:p>
        </w:tc>
      </w:tr>
      <w:tr>
        <w:tblPrEx>
          <w:tblW w:w="0" w:type="auto"/>
          <w:jc w:val="center"/>
          <w:tblCellMar>
            <w:top w:w="0" w:type="dxa"/>
            <w:left w:w="108" w:type="dxa"/>
            <w:bottom w:w="0" w:type="dxa"/>
            <w:right w:w="108" w:type="dxa"/>
          </w:tblCellMar>
        </w:tblPrEx>
        <w:trPr>
          <w:trHeight w:val="754"/>
          <w:jc w:val="center"/>
        </w:trPr>
        <w:tc>
          <w:tcPr>
            <w:tcW w:w="3019" w:type="dxa"/>
            <w:tcBorders>
              <w:top w:val="nil"/>
              <w:left w:val="nil"/>
              <w:bottom w:val="nil"/>
              <w:right w:val="nil"/>
            </w:tcBorders>
            <w:vAlign w:val="bottom"/>
          </w:tcPr>
          <w:p>
            <w:pPr>
              <w:spacing w:line="420" w:lineRule="auto"/>
              <w:ind w:firstLine="0" w:firstLineChars="0"/>
              <w:textAlignment w:val="baseline"/>
              <w:rPr>
                <w:rFonts w:ascii="等线" w:eastAsia="等线" w:hAnsi="等线" w:cs="Times New Roman"/>
                <w:kern w:val="0"/>
                <w:sz w:val="24"/>
                <w:szCs w:val="24"/>
                <w:highlight w:val="none"/>
              </w:rPr>
            </w:pPr>
            <w:r>
              <w:rPr>
                <w:rFonts w:ascii="黑体" w:eastAsia="黑体" w:hAnsi="黑体" w:cs="Times New Roman" w:hint="eastAsia"/>
                <w:spacing w:val="108"/>
                <w:kern w:val="0"/>
                <w:sz w:val="24"/>
                <w:szCs w:val="24"/>
                <w:highlight w:val="none"/>
                <w:fitText w:val="2520" w:id="2115925768"/>
              </w:rPr>
              <w:t>技术总负责</w:t>
            </w:r>
            <w:r>
              <w:rPr>
                <w:rFonts w:ascii="黑体" w:eastAsia="黑体" w:hAnsi="黑体" w:cs="Times New Roman" w:hint="eastAsia"/>
                <w:spacing w:val="0"/>
                <w:kern w:val="0"/>
                <w:sz w:val="24"/>
                <w:szCs w:val="24"/>
                <w:highlight w:val="none"/>
                <w:fitText w:val="2520" w:id="2115925768"/>
              </w:rPr>
              <w:t>人</w:t>
            </w:r>
            <w:r>
              <w:rPr>
                <w:rFonts w:ascii="黑体" w:eastAsia="黑体" w:hAnsi="黑体" w:cs="Times New Roman" w:hint="eastAsia"/>
                <w:kern w:val="0"/>
                <w:sz w:val="24"/>
                <w:szCs w:val="24"/>
                <w:highlight w:val="none"/>
              </w:rPr>
              <w:t>：</w:t>
            </w:r>
          </w:p>
        </w:tc>
        <w:tc>
          <w:tcPr>
            <w:tcW w:w="1113" w:type="dxa"/>
            <w:tcBorders>
              <w:top w:val="nil"/>
              <w:left w:val="nil"/>
              <w:bottom w:val="nil"/>
              <w:right w:val="nil"/>
            </w:tcBorders>
            <w:vAlign w:val="bottom"/>
          </w:tcPr>
          <w:p>
            <w:pPr>
              <w:spacing w:line="420" w:lineRule="auto"/>
              <w:ind w:firstLine="0" w:firstLineChars="0"/>
              <w:textAlignment w:val="baseline"/>
              <w:rPr>
                <w:rFonts w:ascii="等线" w:eastAsia="等线" w:hAnsi="等线" w:cs="Times New Roman"/>
                <w:kern w:val="0"/>
                <w:sz w:val="24"/>
                <w:szCs w:val="24"/>
                <w:highlight w:val="none"/>
              </w:rPr>
            </w:pPr>
            <w:r>
              <w:rPr>
                <w:rFonts w:ascii="黑体" w:eastAsia="黑体" w:hAnsi="黑体" w:cs="Times New Roman" w:hint="eastAsia"/>
                <w:kern w:val="0"/>
                <w:sz w:val="24"/>
                <w:szCs w:val="24"/>
                <w:highlight w:val="none"/>
              </w:rPr>
              <w:t>欧阳东</w:t>
            </w:r>
          </w:p>
        </w:tc>
        <w:tc>
          <w:tcPr>
            <w:tcW w:w="1881" w:type="dxa"/>
            <w:tcBorders>
              <w:top w:val="single" w:sz="4" w:space="0" w:color="auto"/>
              <w:left w:val="nil"/>
              <w:bottom w:val="single" w:sz="4" w:space="0" w:color="auto"/>
              <w:right w:val="nil"/>
            </w:tcBorders>
            <w:vAlign w:val="bottom"/>
          </w:tcPr>
          <w:p>
            <w:pPr>
              <w:spacing w:line="420" w:lineRule="auto"/>
              <w:ind w:firstLine="420" w:firstLineChars="200"/>
              <w:textAlignment w:val="baseline"/>
              <w:rPr>
                <w:rFonts w:ascii="等线" w:eastAsia="等线" w:hAnsi="等线" w:cs="Times New Roman"/>
                <w:kern w:val="0"/>
                <w:sz w:val="24"/>
                <w:szCs w:val="24"/>
                <w:highlight w:val="none"/>
              </w:rPr>
            </w:pPr>
          </w:p>
        </w:tc>
      </w:tr>
      <w:tr>
        <w:tblPrEx>
          <w:tblW w:w="0" w:type="auto"/>
          <w:jc w:val="center"/>
          <w:tblCellMar>
            <w:top w:w="0" w:type="dxa"/>
            <w:left w:w="108" w:type="dxa"/>
            <w:bottom w:w="0" w:type="dxa"/>
            <w:right w:w="108" w:type="dxa"/>
          </w:tblCellMar>
        </w:tblPrEx>
        <w:trPr>
          <w:jc w:val="center"/>
        </w:trPr>
        <w:tc>
          <w:tcPr>
            <w:tcW w:w="3019" w:type="dxa"/>
            <w:tcBorders>
              <w:top w:val="nil"/>
              <w:left w:val="nil"/>
              <w:bottom w:val="nil"/>
              <w:right w:val="nil"/>
            </w:tcBorders>
            <w:vAlign w:val="bottom"/>
          </w:tcPr>
          <w:p>
            <w:pPr>
              <w:spacing w:line="420" w:lineRule="auto"/>
              <w:ind w:firstLine="0" w:firstLineChars="0"/>
              <w:jc w:val="distribute"/>
              <w:textAlignment w:val="baseline"/>
              <w:rPr>
                <w:rFonts w:ascii="黑体" w:eastAsia="黑体" w:hAnsi="黑体" w:cs="Times New Roman"/>
                <w:spacing w:val="34"/>
                <w:w w:val="93"/>
                <w:kern w:val="0"/>
                <w:sz w:val="24"/>
                <w:szCs w:val="24"/>
                <w:highlight w:val="none"/>
              </w:rPr>
            </w:pPr>
            <w:r>
              <w:rPr>
                <w:rFonts w:ascii="黑体" w:eastAsia="黑体" w:hAnsi="黑体" w:cs="Times New Roman" w:hint="eastAsia"/>
                <w:spacing w:val="42"/>
                <w:kern w:val="0"/>
                <w:sz w:val="24"/>
                <w:szCs w:val="24"/>
                <w:highlight w:val="none"/>
                <w:fitText w:val="2520" w:id="637810155"/>
              </w:rPr>
              <w:t>项目设计总负责</w:t>
            </w:r>
            <w:r>
              <w:rPr>
                <w:rFonts w:ascii="黑体" w:eastAsia="黑体" w:hAnsi="黑体" w:cs="Times New Roman" w:hint="eastAsia"/>
                <w:spacing w:val="6"/>
                <w:kern w:val="0"/>
                <w:sz w:val="24"/>
                <w:szCs w:val="24"/>
                <w:highlight w:val="none"/>
                <w:fitText w:val="2520" w:id="637810155"/>
              </w:rPr>
              <w:t>人</w:t>
            </w:r>
            <w:r>
              <w:rPr>
                <w:rFonts w:ascii="黑体" w:eastAsia="黑体" w:hAnsi="黑体" w:cs="Times New Roman" w:hint="eastAsia"/>
                <w:kern w:val="0"/>
                <w:sz w:val="24"/>
                <w:szCs w:val="24"/>
                <w:highlight w:val="none"/>
              </w:rPr>
              <w:t>：</w:t>
            </w:r>
          </w:p>
        </w:tc>
        <w:tc>
          <w:tcPr>
            <w:tcW w:w="1113" w:type="dxa"/>
            <w:tcBorders>
              <w:top w:val="nil"/>
              <w:left w:val="nil"/>
              <w:bottom w:val="nil"/>
              <w:right w:val="nil"/>
            </w:tcBorders>
            <w:vAlign w:val="bottom"/>
          </w:tcPr>
          <w:p>
            <w:pPr>
              <w:spacing w:line="420" w:lineRule="auto"/>
              <w:ind w:firstLine="0" w:firstLineChars="0"/>
              <w:textAlignment w:val="baseline"/>
              <w:rPr>
                <w:rFonts w:ascii="等线" w:eastAsia="等线" w:hAnsi="等线" w:cs="Times New Roman"/>
                <w:kern w:val="0"/>
                <w:sz w:val="24"/>
                <w:szCs w:val="24"/>
                <w:highlight w:val="none"/>
              </w:rPr>
            </w:pPr>
            <w:r>
              <w:rPr>
                <w:rFonts w:ascii="黑体" w:eastAsia="黑体" w:hAnsi="黑体" w:cs="Times New Roman" w:hint="eastAsia"/>
                <w:kern w:val="0"/>
                <w:sz w:val="24"/>
                <w:szCs w:val="24"/>
                <w:highlight w:val="none"/>
              </w:rPr>
              <w:t>张晓婷</w:t>
            </w:r>
          </w:p>
        </w:tc>
        <w:tc>
          <w:tcPr>
            <w:tcW w:w="1881" w:type="dxa"/>
            <w:tcBorders>
              <w:top w:val="single" w:sz="4" w:space="0" w:color="auto"/>
              <w:left w:val="nil"/>
              <w:bottom w:val="single" w:sz="4" w:space="0" w:color="auto"/>
              <w:right w:val="nil"/>
            </w:tcBorders>
            <w:vAlign w:val="bottom"/>
          </w:tcPr>
          <w:p>
            <w:pPr>
              <w:spacing w:line="420" w:lineRule="auto"/>
              <w:ind w:firstLine="420" w:firstLineChars="200"/>
              <w:textAlignment w:val="baseline"/>
              <w:rPr>
                <w:rFonts w:ascii="等线" w:eastAsia="等线" w:hAnsi="等线" w:cs="Times New Roman"/>
                <w:kern w:val="0"/>
                <w:sz w:val="24"/>
                <w:szCs w:val="24"/>
                <w:highlight w:val="none"/>
              </w:rPr>
            </w:pPr>
          </w:p>
        </w:tc>
      </w:tr>
      <w:tr>
        <w:tblPrEx>
          <w:tblW w:w="0" w:type="auto"/>
          <w:jc w:val="center"/>
          <w:tblCellMar>
            <w:top w:w="0" w:type="dxa"/>
            <w:left w:w="108" w:type="dxa"/>
            <w:bottom w:w="0" w:type="dxa"/>
            <w:right w:w="108" w:type="dxa"/>
          </w:tblCellMar>
        </w:tblPrEx>
        <w:trPr>
          <w:jc w:val="center"/>
        </w:trPr>
        <w:tc>
          <w:tcPr>
            <w:tcW w:w="3019" w:type="dxa"/>
            <w:tcBorders>
              <w:top w:val="nil"/>
              <w:left w:val="nil"/>
              <w:bottom w:val="nil"/>
              <w:right w:val="nil"/>
            </w:tcBorders>
            <w:vAlign w:val="bottom"/>
          </w:tcPr>
          <w:p>
            <w:pPr>
              <w:spacing w:line="420" w:lineRule="auto"/>
              <w:ind w:firstLine="0" w:firstLineChars="0"/>
              <w:textAlignment w:val="baseline"/>
              <w:rPr>
                <w:rFonts w:ascii="等线" w:eastAsia="等线" w:hAnsi="等线" w:cs="Times New Roman"/>
                <w:kern w:val="0"/>
                <w:sz w:val="24"/>
                <w:szCs w:val="24"/>
                <w:highlight w:val="none"/>
              </w:rPr>
            </w:pPr>
            <w:r>
              <w:rPr>
                <w:rFonts w:ascii="黑体" w:eastAsia="黑体" w:hAnsi="黑体" w:cs="Times New Roman" w:hint="eastAsia"/>
                <w:spacing w:val="22"/>
                <w:kern w:val="0"/>
                <w:sz w:val="24"/>
                <w:szCs w:val="24"/>
                <w:highlight w:val="none"/>
                <w:fitText w:val="2520" w:id="1201558312"/>
              </w:rPr>
              <w:t>项目编制执行负责</w:t>
            </w:r>
            <w:r>
              <w:rPr>
                <w:rFonts w:ascii="黑体" w:eastAsia="黑体" w:hAnsi="黑体" w:cs="Times New Roman" w:hint="eastAsia"/>
                <w:spacing w:val="4"/>
                <w:kern w:val="0"/>
                <w:sz w:val="24"/>
                <w:szCs w:val="24"/>
                <w:highlight w:val="none"/>
                <w:fitText w:val="2520" w:id="1201558312"/>
              </w:rPr>
              <w:t>人</w:t>
            </w:r>
            <w:r>
              <w:rPr>
                <w:rFonts w:ascii="黑体" w:eastAsia="黑体" w:hAnsi="黑体" w:cs="Times New Roman" w:hint="eastAsia"/>
                <w:kern w:val="0"/>
                <w:sz w:val="24"/>
                <w:szCs w:val="24"/>
                <w:highlight w:val="none"/>
              </w:rPr>
              <w:t>：</w:t>
            </w:r>
          </w:p>
        </w:tc>
        <w:tc>
          <w:tcPr>
            <w:tcW w:w="1113" w:type="dxa"/>
            <w:tcBorders>
              <w:top w:val="nil"/>
              <w:left w:val="nil"/>
              <w:bottom w:val="nil"/>
              <w:right w:val="nil"/>
            </w:tcBorders>
            <w:vAlign w:val="bottom"/>
          </w:tcPr>
          <w:p>
            <w:pPr>
              <w:spacing w:line="420" w:lineRule="auto"/>
              <w:ind w:firstLine="0" w:firstLineChars="0"/>
              <w:textAlignment w:val="baseline"/>
              <w:rPr>
                <w:rFonts w:ascii="等线" w:eastAsia="黑体" w:hAnsi="等线" w:cs="Times New Roman"/>
                <w:kern w:val="0"/>
                <w:sz w:val="24"/>
                <w:szCs w:val="24"/>
                <w:highlight w:val="none"/>
              </w:rPr>
            </w:pPr>
            <w:r>
              <w:rPr>
                <w:rFonts w:ascii="黑体" w:eastAsia="黑体" w:hAnsi="黑体" w:cs="Times New Roman" w:hint="eastAsia"/>
                <w:kern w:val="0"/>
                <w:sz w:val="24"/>
                <w:szCs w:val="24"/>
                <w:highlight w:val="none"/>
              </w:rPr>
              <w:t>梁思斯</w:t>
            </w:r>
          </w:p>
        </w:tc>
        <w:tc>
          <w:tcPr>
            <w:tcW w:w="1881" w:type="dxa"/>
            <w:tcBorders>
              <w:top w:val="single" w:sz="4" w:space="0" w:color="auto"/>
              <w:left w:val="nil"/>
              <w:bottom w:val="single" w:sz="4" w:space="0" w:color="auto"/>
              <w:right w:val="nil"/>
            </w:tcBorders>
            <w:vAlign w:val="bottom"/>
          </w:tcPr>
          <w:p>
            <w:pPr>
              <w:spacing w:line="420" w:lineRule="auto"/>
              <w:ind w:firstLine="420" w:firstLineChars="200"/>
              <w:textAlignment w:val="baseline"/>
              <w:rPr>
                <w:rFonts w:ascii="等线" w:eastAsia="等线" w:hAnsi="等线" w:cs="Times New Roman"/>
                <w:kern w:val="0"/>
                <w:sz w:val="24"/>
                <w:szCs w:val="24"/>
                <w:highlight w:val="none"/>
              </w:rPr>
            </w:pPr>
          </w:p>
        </w:tc>
      </w:tr>
    </w:tbl>
    <w:p>
      <w:pPr>
        <w:pStyle w:val="BodyText"/>
        <w:ind w:firstLine="1890" w:firstLineChars="900"/>
        <w:rPr>
          <w:rFonts w:ascii="黑体"/>
          <w:sz w:val="32"/>
          <w:highlight w:val="none"/>
          <w:lang w:val="en-US"/>
        </w:rPr>
      </w:pPr>
    </w:p>
    <w:p>
      <w:pPr>
        <w:ind w:firstLine="560"/>
        <w:jc w:val="center"/>
        <w:rPr>
          <w:highlight w:val="none"/>
        </w:rPr>
      </w:pPr>
    </w:p>
    <w:p>
      <w:pPr>
        <w:ind w:firstLine="560"/>
        <w:jc w:val="center"/>
        <w:rPr>
          <w:highlight w:val="none"/>
        </w:rPr>
      </w:pPr>
    </w:p>
    <w:p>
      <w:pPr>
        <w:ind w:firstLine="560"/>
        <w:jc w:val="center"/>
        <w:rPr>
          <w:highlight w:val="none"/>
        </w:rPr>
      </w:pPr>
    </w:p>
    <w:p>
      <w:pPr>
        <w:ind w:firstLine="560"/>
        <w:jc w:val="center"/>
        <w:rPr>
          <w:highlight w:val="none"/>
        </w:rPr>
      </w:pPr>
    </w:p>
    <w:p>
      <w:pPr>
        <w:ind w:firstLine="560"/>
        <w:jc w:val="center"/>
        <w:rPr>
          <w:highlight w:val="none"/>
        </w:rPr>
      </w:pPr>
    </w:p>
    <w:p>
      <w:pPr>
        <w:rPr>
          <w:highlight w:val="none"/>
        </w:rPr>
      </w:pPr>
    </w:p>
    <w:p>
      <w:pPr>
        <w:tabs>
          <w:tab w:val="left" w:pos="851"/>
        </w:tabs>
        <w:spacing w:before="114" w:beforeLines="30" w:after="114" w:afterLines="30"/>
        <w:ind w:firstLine="560"/>
        <w:rPr>
          <w:highlight w:val="none"/>
        </w:rPr>
      </w:pPr>
      <w:r>
        <w:rPr>
          <w:rFonts w:hint="eastAsia"/>
          <w:highlight w:val="none"/>
        </w:rPr>
        <w:t xml:space="preserve">                                                                     </w:t>
      </w:r>
      <w:r>
        <w:rPr>
          <w:highlight w:val="none"/>
        </w:rPr>
        <mc:AlternateContent>
          <mc:Choice Requires="wpg">
            <w:drawing>
              <wp:inline distT="0" distB="0" distL="0" distR="0">
                <wp:extent cx="3585845" cy="901700"/>
                <wp:effectExtent l="0" t="0" r="14605" b="0"/>
                <wp:docPr id="37" name="组合 37"/>
                <wp:cNvGraphicFramePr/>
                <a:graphic xmlns:a="http://schemas.openxmlformats.org/drawingml/2006/main">
                  <a:graphicData uri="http://schemas.microsoft.com/office/word/2010/wordprocessingGroup">
                    <wpg:wgp xmlns:wpg="http://schemas.microsoft.com/office/word/2010/wordprocessingGroup">
                      <wpg:cNvGrpSpPr>
                        <a:grpSpLocks noRot="1"/>
                      </wpg:cNvGrpSpPr>
                      <wpg:grpSpPr>
                        <a:xfrm>
                          <a:off x="0" y="0"/>
                          <a:ext cx="3585845" cy="901700"/>
                          <a:chOff x="9391" y="11238"/>
                          <a:chExt cx="5647" cy="1420"/>
                        </a:xfrm>
                      </wpg:grpSpPr>
                      <wps:wsp xmlns:wps="http://schemas.microsoft.com/office/word/2010/wordprocessingShape">
                        <wps:cNvPr id="29" name="文本框 84"/>
                        <wps:cNvSpPr txBox="1"/>
                        <wps:spPr>
                          <a:xfrm>
                            <a:off x="9572" y="12174"/>
                            <a:ext cx="4969" cy="484"/>
                          </a:xfrm>
                          <a:prstGeom prst="rect">
                            <a:avLst/>
                          </a:prstGeom>
                          <a:noFill/>
                          <a:ln>
                            <a:noFill/>
                          </a:ln>
                        </wps:spPr>
                        <wps:txbx>
                          <w:txbxContent>
                            <w:p>
                              <w:pPr>
                                <w:rPr>
                                  <w:rFonts w:ascii="黑体" w:eastAsia="黑体" w:hAnsi="黑体"/>
                                  <w:szCs w:val="21"/>
                                </w:rPr>
                              </w:pPr>
                              <w:r>
                                <w:rPr>
                                  <w:rFonts w:ascii="黑体" w:eastAsia="黑体" w:hAnsi="黑体" w:hint="eastAsia"/>
                                  <w:szCs w:val="21"/>
                                </w:rPr>
                                <w:t>城乡规划编制资质证书：甲级 自资规甲字21450168</w:t>
                              </w:r>
                            </w:p>
                          </w:txbxContent>
                        </wps:txbx>
                        <wps:bodyPr wrap="square" upright="1"/>
                      </wps:wsp>
                      <pic:pic xmlns:pic="http://schemas.openxmlformats.org/drawingml/2006/picture">
                        <pic:nvPicPr>
                          <pic:cNvPr id="31" name="图片 12"/>
                          <pic:cNvPicPr>
                            <a:picLocks noChangeAspect="1"/>
                          </pic:cNvPicPr>
                        </pic:nvPicPr>
                        <pic:blipFill>
                          <a:blip xmlns:r="http://schemas.openxmlformats.org/officeDocument/2006/relationships" r:embed="rId5"/>
                          <a:srcRect l="5347" t="19963" r="7217" b="32843"/>
                          <a:stretch>
                            <a:fillRect/>
                          </a:stretch>
                        </pic:blipFill>
                        <pic:spPr>
                          <a:xfrm>
                            <a:off x="9391" y="11238"/>
                            <a:ext cx="5647" cy="846"/>
                          </a:xfrm>
                          <a:prstGeom prst="rect">
                            <a:avLst/>
                          </a:prstGeom>
                          <a:noFill/>
                          <a:ln>
                            <a:noFill/>
                          </a:ln>
                        </pic:spPr>
                      </pic:pic>
                    </wpg:wgp>
                  </a:graphicData>
                </a:graphic>
              </wp:inline>
            </w:drawing>
          </mc:Choice>
          <mc:Fallback>
            <w:pict>
              <v:group id="组合 37" o:spid="_x0000_i1025" style="height:71pt;mso-wrap-distance-bottom:0;mso-wrap-distance-left:0;mso-wrap-distance-right:0;mso-wrap-distance-top:0;width:283.5pt" coordsize="21600,21600">
                <v:shapetype id="_x0000_t202" coordsize="21600,21600" o:spt="202" path="m,l,21600r21600,l21600,xe">
                  <v:stroke joinstyle="miter"/>
                  <v:path gradientshapeok="t" o:connecttype="rect"/>
                </v:shapetype>
                <v:shape id="_x0000_s1026" type="#_x0000_t202" style="height:7362;left:36613;position:absolute;top:185182;width:19007" filled="f" fillcolor="this" stroked="f">
                  <v:textbox>
                    <w:txbxContent>
                      <w:p>
                        <w:pPr>
                          <w:rPr>
                            <w:rFonts w:ascii="黑体" w:eastAsia="黑体" w:hAnsi="黑体"/>
                            <w:szCs w:val="21"/>
                          </w:rPr>
                        </w:pPr>
                        <w:r>
                          <w:rPr>
                            <w:rFonts w:ascii="黑体" w:eastAsia="黑体" w:hAnsi="黑体" w:hint="eastAsia"/>
                            <w:szCs w:val="21"/>
                          </w:rPr>
                          <w:t>城乡规划编制资质证书：甲级 自资规甲字21450168</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height:12869;left:35921;position:absolute;top:170944;width:21600" filled="f" stroked="f">
                  <v:imagedata r:id="rId5" o:title="" croptop="13083f" cropbottom="21524f" cropleft="3504f" cropright="4730f"/>
                </v:shape>
              </v:group>
            </w:pict>
          </mc:Fallback>
        </mc:AlternateContent>
      </w:r>
    </w:p>
    <w:p>
      <w:pPr>
        <w:jc w:val="center"/>
        <w:rPr>
          <w:rFonts w:ascii="方正综艺简体" w:eastAsia="方正综艺简体"/>
          <w:highlight w:val="none"/>
        </w:rPr>
        <w:sectPr>
          <w:headerReference w:type="even" r:id="rId6"/>
          <w:headerReference w:type="default" r:id="rId7"/>
          <w:footerReference w:type="even" r:id="rId8"/>
          <w:footerReference w:type="default" r:id="rId9"/>
          <w:headerReference w:type="first" r:id="rId10"/>
          <w:footerReference w:type="first" r:id="rId11"/>
          <w:pgSz w:w="23811" w:h="16838" w:orient="landscape"/>
          <w:pgMar w:top="1797" w:right="1440" w:bottom="1797" w:left="1440" w:header="851" w:footer="992" w:gutter="0"/>
          <w:pgBorders w:offsetFrom="page">
            <w:top w:val="single" w:sz="8" w:space="24" w:color="auto"/>
            <w:left w:val="single" w:sz="8" w:space="24" w:color="auto"/>
            <w:bottom w:val="single" w:sz="8" w:space="24" w:color="auto"/>
            <w:right w:val="single" w:sz="8" w:space="24" w:color="auto"/>
          </w:pgBorders>
          <w:cols w:num="1" w:space="425"/>
          <w:titlePg/>
          <w:docGrid w:type="lines" w:linePitch="381" w:charSpace="0"/>
        </w:sectPr>
      </w:pPr>
      <w:r>
        <w:rPr>
          <w:rFonts w:ascii="方正综艺简体" w:eastAsia="方正综艺简体" w:hint="eastAsia"/>
          <w:sz w:val="24"/>
          <w:szCs w:val="24"/>
          <w:highlight w:val="none"/>
        </w:rPr>
        <w:t>二</w:t>
      </w:r>
      <w:r>
        <w:rPr>
          <w:rFonts w:ascii="方正综艺简体" w:eastAsia="幼圆" w:hint="eastAsia"/>
          <w:sz w:val="24"/>
          <w:szCs w:val="24"/>
          <w:highlight w:val="none"/>
        </w:rPr>
        <w:t>〇</w:t>
      </w:r>
      <w:r>
        <w:rPr>
          <w:rFonts w:ascii="方正综艺简体" w:eastAsia="方正综艺简体" w:hint="eastAsia"/>
          <w:sz w:val="24"/>
          <w:szCs w:val="24"/>
          <w:highlight w:val="none"/>
        </w:rPr>
        <w:t>二四年</w:t>
      </w:r>
      <w:r>
        <w:rPr>
          <w:rFonts w:ascii="方正综艺简体" w:eastAsia="方正综艺简体" w:hint="eastAsia"/>
          <w:sz w:val="24"/>
          <w:szCs w:val="24"/>
          <w:highlight w:val="none"/>
          <w:lang w:val="en-US" w:eastAsia="zh-CN"/>
        </w:rPr>
        <w:t>九</w:t>
      </w:r>
      <w:r>
        <w:rPr>
          <w:rFonts w:ascii="方正综艺简体" w:eastAsia="方正综艺简体" w:hint="eastAsia"/>
          <w:sz w:val="24"/>
          <w:szCs w:val="24"/>
          <w:highlight w:val="none"/>
        </w:rPr>
        <w:t>月</w:t>
      </w:r>
    </w:p>
    <w:p>
      <w:pPr>
        <w:ind w:firstLine="560"/>
        <w:jc w:val="center"/>
        <w:rPr>
          <w:highlight w:val="none"/>
        </w:rPr>
      </w:pPr>
      <w:r>
        <w:rPr>
          <w:rFonts w:hint="eastAsia"/>
          <w:highlight w:val="none"/>
        </w:rPr>
        <w:drawing>
          <wp:inline distT="0" distB="0" distL="114300" distR="114300">
            <wp:extent cx="5352415" cy="3832225"/>
            <wp:effectExtent l="0" t="0" r="0" b="0"/>
            <wp:docPr id="1" name="图片 1" descr="城乡规划编制甲级资质证书-华蓝设计(集团)有限公司（有效期至2025年12月31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城乡规划编制甲级资质证书-华蓝设计(集团)有限公司（有效期至2025年12月31日）"/>
                    <pic:cNvPicPr>
                      <a:picLocks noChangeAspect="1"/>
                    </pic:cNvPicPr>
                  </pic:nvPicPr>
                  <pic:blipFill>
                    <a:blip xmlns:r="http://schemas.openxmlformats.org/officeDocument/2006/relationships" r:embed="rId12"/>
                    <a:srcRect l="3669" t="3147" r="3470" b="2820"/>
                    <a:stretch>
                      <a:fillRect/>
                    </a:stretch>
                  </pic:blipFill>
                  <pic:spPr>
                    <a:xfrm>
                      <a:off x="0" y="0"/>
                      <a:ext cx="5352415" cy="3832225"/>
                    </a:xfrm>
                    <a:prstGeom prst="rect">
                      <a:avLst/>
                    </a:prstGeom>
                  </pic:spPr>
                </pic:pic>
              </a:graphicData>
            </a:graphic>
          </wp:inline>
        </w:drawing>
      </w:r>
    </w:p>
    <w:p>
      <w:pPr>
        <w:rPr>
          <w:highlight w:val="none"/>
        </w:rPr>
      </w:pPr>
    </w:p>
    <w:p>
      <w:pPr>
        <w:ind w:firstLine="560"/>
        <w:jc w:val="center"/>
        <w:rPr>
          <w:highlight w:val="none"/>
        </w:rPr>
      </w:pPr>
      <w:r>
        <w:rPr>
          <w:highlight w:val="none"/>
        </w:rPr>
        <w:drawing>
          <wp:inline distT="0" distB="0" distL="114300" distR="114300">
            <wp:extent cx="5328285" cy="3846830"/>
            <wp:effectExtent l="0" t="0" r="5715" b="127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xmlns:r="http://schemas.openxmlformats.org/officeDocument/2006/relationships" r:embed="rId13"/>
                    <a:stretch>
                      <a:fillRect/>
                    </a:stretch>
                  </pic:blipFill>
                  <pic:spPr>
                    <a:xfrm>
                      <a:off x="0" y="0"/>
                      <a:ext cx="5328285" cy="3846830"/>
                    </a:xfrm>
                    <a:prstGeom prst="rect">
                      <a:avLst/>
                    </a:prstGeom>
                    <a:noFill/>
                    <a:ln>
                      <a:noFill/>
                    </a:ln>
                  </pic:spPr>
                </pic:pic>
              </a:graphicData>
            </a:graphic>
          </wp:inline>
        </w:drawing>
      </w:r>
    </w:p>
    <w:p>
      <w:pPr>
        <w:rPr>
          <w:highlight w:val="none"/>
        </w:rPr>
      </w:pPr>
    </w:p>
    <w:p>
      <w:pPr>
        <w:widowControl/>
        <w:jc w:val="left"/>
        <w:rPr>
          <w:rFonts w:ascii="黑体" w:eastAsia="黑体" w:hAnsi="黑体"/>
          <w:b/>
          <w:bCs/>
          <w:spacing w:val="19"/>
          <w:kern w:val="0"/>
          <w:sz w:val="28"/>
          <w:szCs w:val="28"/>
          <w:highlight w:val="none"/>
        </w:rPr>
      </w:pPr>
    </w:p>
    <w:p>
      <w:pPr>
        <w:widowControl/>
        <w:jc w:val="left"/>
        <w:rPr>
          <w:rFonts w:ascii="黑体" w:eastAsia="黑体" w:hAnsi="黑体"/>
          <w:b/>
          <w:bCs/>
          <w:kern w:val="24"/>
          <w:sz w:val="28"/>
          <w:szCs w:val="28"/>
          <w:highlight w:val="none"/>
        </w:rPr>
      </w:pPr>
      <w:r>
        <w:rPr>
          <w:rFonts w:ascii="黑体" w:eastAsia="黑体" w:hAnsi="黑体" w:hint="eastAsia"/>
          <w:b/>
          <w:bCs/>
          <w:spacing w:val="17"/>
          <w:kern w:val="0"/>
          <w:sz w:val="28"/>
          <w:szCs w:val="28"/>
          <w:highlight w:val="none"/>
          <w:fitText w:val="2800" w:id="1698775723"/>
        </w:rPr>
        <w:t>项目设计总负责人</w:t>
      </w:r>
      <w:r>
        <w:rPr>
          <w:rFonts w:ascii="黑体" w:eastAsia="黑体" w:hAnsi="黑体" w:hint="eastAsia"/>
          <w:b/>
          <w:bCs/>
          <w:spacing w:val="4"/>
          <w:kern w:val="0"/>
          <w:sz w:val="28"/>
          <w:szCs w:val="28"/>
          <w:highlight w:val="none"/>
          <w:fitText w:val="2800" w:id="1698775723"/>
        </w:rPr>
        <w:t>：</w:t>
      </w:r>
      <w:r>
        <w:rPr>
          <w:rFonts w:ascii="黑体" w:eastAsia="黑体" w:hAnsi="黑体" w:hint="eastAsia"/>
          <w:b/>
          <w:bCs/>
          <w:kern w:val="24"/>
          <w:sz w:val="28"/>
          <w:szCs w:val="28"/>
          <w:highlight w:val="none"/>
        </w:rPr>
        <w:t xml:space="preserve"> </w:t>
      </w:r>
      <w:r>
        <w:rPr>
          <w:rFonts w:ascii="黑体" w:eastAsia="黑体" w:hAnsi="黑体" w:hint="eastAsia"/>
          <w:kern w:val="24"/>
          <w:sz w:val="28"/>
          <w:szCs w:val="28"/>
          <w:highlight w:val="none"/>
        </w:rPr>
        <w:t>张晓婷（高级工程师）</w:t>
      </w:r>
    </w:p>
    <w:p>
      <w:pPr>
        <w:widowControl/>
        <w:jc w:val="left"/>
        <w:rPr>
          <w:rFonts w:ascii="黑体" w:eastAsia="黑体" w:hAnsi="黑体"/>
          <w:kern w:val="24"/>
          <w:sz w:val="28"/>
          <w:szCs w:val="28"/>
          <w:highlight w:val="none"/>
        </w:rPr>
      </w:pPr>
      <w:r>
        <w:rPr>
          <w:rFonts w:ascii="黑体" w:eastAsia="黑体" w:hAnsi="黑体" w:hint="eastAsia"/>
          <w:b/>
          <w:bCs/>
          <w:kern w:val="24"/>
          <w:sz w:val="28"/>
          <w:szCs w:val="28"/>
          <w:highlight w:val="none"/>
        </w:rPr>
        <w:t xml:space="preserve">项目设计执行负责人： </w:t>
      </w:r>
      <w:r>
        <w:rPr>
          <w:rFonts w:ascii="黑体" w:eastAsia="黑体" w:hAnsi="黑体" w:hint="eastAsia"/>
          <w:bCs/>
          <w:kern w:val="24"/>
          <w:sz w:val="28"/>
          <w:szCs w:val="28"/>
          <w:highlight w:val="none"/>
        </w:rPr>
        <w:t>梁思斯</w:t>
      </w:r>
      <w:r>
        <w:rPr>
          <w:rFonts w:ascii="黑体" w:eastAsia="黑体" w:hAnsi="黑体" w:hint="eastAsia"/>
          <w:kern w:val="24"/>
          <w:sz w:val="28"/>
          <w:szCs w:val="28"/>
          <w:highlight w:val="none"/>
        </w:rPr>
        <w:t>（高级工程师，</w:t>
      </w:r>
      <w:r>
        <w:rPr>
          <w:rFonts w:ascii="黑体" w:eastAsia="黑体" w:hAnsi="黑体"/>
          <w:kern w:val="24"/>
          <w:sz w:val="28"/>
          <w:szCs w:val="28"/>
          <w:highlight w:val="none"/>
        </w:rPr>
        <w:t>国家注册城乡规划师</w:t>
      </w:r>
      <w:r>
        <w:rPr>
          <w:rFonts w:ascii="黑体" w:eastAsia="黑体" w:hAnsi="黑体" w:hint="eastAsia"/>
          <w:kern w:val="24"/>
          <w:sz w:val="28"/>
          <w:szCs w:val="28"/>
          <w:highlight w:val="none"/>
        </w:rPr>
        <w:t>）</w:t>
      </w:r>
    </w:p>
    <w:p>
      <w:pPr>
        <w:rPr>
          <w:rFonts w:ascii="黑体" w:eastAsia="黑体" w:hAnsi="黑体"/>
          <w:bCs/>
          <w:kern w:val="24"/>
          <w:sz w:val="28"/>
          <w:szCs w:val="28"/>
          <w:highlight w:val="none"/>
        </w:rPr>
      </w:pPr>
      <w:r>
        <w:rPr>
          <w:rFonts w:ascii="黑体" w:eastAsia="黑体" w:hAnsi="黑体" w:hint="eastAsia"/>
          <w:b/>
          <w:bCs/>
          <w:spacing w:val="17"/>
          <w:kern w:val="0"/>
          <w:sz w:val="28"/>
          <w:szCs w:val="28"/>
          <w:highlight w:val="none"/>
          <w:fitText w:val="2800" w:id="453853963"/>
        </w:rPr>
        <w:t>项目主要编制人员</w:t>
      </w:r>
      <w:r>
        <w:rPr>
          <w:rFonts w:ascii="黑体" w:eastAsia="黑体" w:hAnsi="黑体" w:hint="eastAsia"/>
          <w:b/>
          <w:bCs/>
          <w:spacing w:val="4"/>
          <w:kern w:val="0"/>
          <w:sz w:val="28"/>
          <w:szCs w:val="28"/>
          <w:highlight w:val="none"/>
          <w:fitText w:val="2800" w:id="453853963"/>
        </w:rPr>
        <w:t>：</w:t>
      </w:r>
      <w:r>
        <w:rPr>
          <w:rFonts w:ascii="黑体" w:eastAsia="黑体" w:hAnsi="黑体"/>
          <w:bCs/>
          <w:kern w:val="24"/>
          <w:sz w:val="28"/>
          <w:szCs w:val="28"/>
          <w:highlight w:val="none"/>
        </w:rPr>
        <w:t xml:space="preserve"> </w:t>
      </w:r>
      <w:r>
        <w:rPr>
          <w:rFonts w:ascii="黑体" w:eastAsia="黑体" w:hAnsi="黑体" w:hint="eastAsia"/>
          <w:bCs/>
          <w:kern w:val="24"/>
          <w:sz w:val="28"/>
          <w:szCs w:val="28"/>
          <w:highlight w:val="none"/>
        </w:rPr>
        <w:t>朱</w:t>
      </w:r>
      <w:r>
        <w:rPr>
          <w:rFonts w:ascii="黑体" w:eastAsia="黑体" w:hAnsi="黑体"/>
          <w:bCs/>
          <w:kern w:val="24"/>
          <w:sz w:val="28"/>
          <w:szCs w:val="28"/>
          <w:highlight w:val="none"/>
        </w:rPr>
        <w:t>尹祥</w:t>
      </w:r>
    </w:p>
    <w:p>
      <w:pPr>
        <w:rPr>
          <w:rFonts w:ascii="黑体" w:eastAsia="黑体" w:hAnsi="黑体"/>
          <w:bCs/>
          <w:kern w:val="24"/>
          <w:sz w:val="28"/>
          <w:szCs w:val="28"/>
          <w:highlight w:val="none"/>
        </w:rPr>
      </w:pPr>
      <w:r>
        <w:rPr>
          <w:rFonts w:ascii="黑体" w:eastAsia="黑体" w:hAnsi="黑体"/>
          <w:bCs/>
          <w:kern w:val="24"/>
          <w:sz w:val="28"/>
          <w:szCs w:val="28"/>
          <w:highlight w:val="none"/>
        </w:rPr>
        <w:t xml:space="preserve">   </w:t>
      </w:r>
      <w:r>
        <w:rPr>
          <w:rFonts w:ascii="黑体" w:eastAsia="黑体" w:hAnsi="黑体" w:hint="eastAsia"/>
          <w:bCs/>
          <w:kern w:val="24"/>
          <w:sz w:val="28"/>
          <w:szCs w:val="28"/>
          <w:highlight w:val="none"/>
        </w:rPr>
        <w:t xml:space="preserve">                  </w:t>
      </w:r>
      <w:bookmarkStart w:id="0" w:name="_Toc22665"/>
      <w:r>
        <w:rPr>
          <w:rFonts w:ascii="黑体" w:eastAsia="黑体" w:hAnsi="黑体" w:hint="eastAsia"/>
          <w:bCs/>
          <w:kern w:val="24"/>
          <w:sz w:val="28"/>
          <w:szCs w:val="28"/>
          <w:highlight w:val="none"/>
        </w:rPr>
        <w:t>黄滨</w:t>
      </w:r>
      <w:r>
        <w:rPr>
          <w:rFonts w:ascii="黑体" w:eastAsia="黑体" w:hAnsi="黑体"/>
          <w:bCs/>
          <w:kern w:val="24"/>
          <w:sz w:val="28"/>
          <w:szCs w:val="28"/>
          <w:highlight w:val="none"/>
        </w:rPr>
        <w:t>荃</w:t>
      </w:r>
    </w:p>
    <w:p>
      <w:pPr>
        <w:rPr>
          <w:rFonts w:ascii="黑体" w:eastAsia="黑体" w:hAnsi="黑体"/>
          <w:bCs/>
          <w:kern w:val="24"/>
          <w:sz w:val="28"/>
          <w:szCs w:val="28"/>
          <w:highlight w:val="none"/>
        </w:rPr>
      </w:pPr>
      <w:r>
        <w:rPr>
          <w:rFonts w:ascii="黑体" w:eastAsia="黑体" w:hAnsi="黑体"/>
          <w:bCs/>
          <w:kern w:val="24"/>
          <w:sz w:val="28"/>
          <w:szCs w:val="28"/>
          <w:highlight w:val="none"/>
        </w:rPr>
        <w:t xml:space="preserve">                  </w:t>
      </w:r>
      <w:r>
        <w:rPr>
          <w:rFonts w:ascii="黑体" w:eastAsia="黑体" w:hAnsi="黑体" w:hint="eastAsia"/>
          <w:bCs/>
          <w:kern w:val="24"/>
          <w:sz w:val="28"/>
          <w:szCs w:val="28"/>
          <w:highlight w:val="none"/>
        </w:rPr>
        <w:t xml:space="preserve">  </w:t>
      </w:r>
      <w:r>
        <w:rPr>
          <w:rFonts w:ascii="黑体" w:eastAsia="黑体" w:hAnsi="黑体"/>
          <w:bCs/>
          <w:kern w:val="24"/>
          <w:sz w:val="28"/>
          <w:szCs w:val="28"/>
          <w:highlight w:val="none"/>
        </w:rPr>
        <w:t xml:space="preserve"> </w:t>
      </w:r>
      <w:r>
        <w:rPr>
          <w:rFonts w:ascii="黑体" w:eastAsia="黑体" w:hAnsi="黑体" w:hint="eastAsia"/>
          <w:bCs/>
          <w:kern w:val="24"/>
          <w:sz w:val="28"/>
          <w:szCs w:val="28"/>
          <w:highlight w:val="none"/>
        </w:rPr>
        <w:t>冯</w:t>
      </w:r>
      <w:r>
        <w:rPr>
          <w:rFonts w:ascii="黑体" w:eastAsia="黑体" w:hAnsi="黑体"/>
          <w:bCs/>
          <w:kern w:val="24"/>
          <w:sz w:val="28"/>
          <w:szCs w:val="28"/>
          <w:highlight w:val="none"/>
        </w:rPr>
        <w:t>天寿</w:t>
      </w:r>
    </w:p>
    <w:p>
      <w:pPr>
        <w:rPr>
          <w:rFonts w:ascii="黑体" w:eastAsia="黑体" w:hAnsi="黑体"/>
          <w:b/>
          <w:bCs/>
          <w:kern w:val="24"/>
          <w:sz w:val="28"/>
          <w:szCs w:val="28"/>
          <w:highlight w:val="none"/>
        </w:rPr>
      </w:pPr>
      <w:r>
        <w:rPr>
          <w:rFonts w:ascii="黑体" w:eastAsia="黑体" w:hAnsi="黑体" w:hint="eastAsia"/>
          <w:bCs/>
          <w:kern w:val="24"/>
          <w:sz w:val="28"/>
          <w:szCs w:val="28"/>
          <w:highlight w:val="none"/>
        </w:rPr>
        <w:t xml:space="preserve">                  </w:t>
      </w:r>
    </w:p>
    <w:p>
      <w:pPr>
        <w:widowControl/>
        <w:spacing w:before="176" w:line="288" w:lineRule="auto"/>
        <w:ind w:firstLine="2835" w:firstLineChars="1350"/>
        <w:jc w:val="left"/>
        <w:rPr>
          <w:rFonts w:ascii="黑体" w:eastAsia="黑体" w:hAnsi="黑体"/>
          <w:b/>
          <w:bCs/>
          <w:kern w:val="24"/>
          <w:sz w:val="28"/>
          <w:szCs w:val="28"/>
          <w:highlight w:val="none"/>
        </w:rPr>
      </w:pPr>
    </w:p>
    <w:p>
      <w:pPr>
        <w:widowControl/>
        <w:spacing w:before="176" w:line="288" w:lineRule="auto"/>
        <w:jc w:val="left"/>
        <w:rPr>
          <w:rFonts w:ascii="黑体" w:eastAsia="黑体" w:hAnsi="黑体"/>
          <w:b/>
          <w:bCs/>
          <w:kern w:val="24"/>
          <w:sz w:val="28"/>
          <w:szCs w:val="28"/>
          <w:highlight w:val="none"/>
        </w:rPr>
      </w:pPr>
    </w:p>
    <w:p>
      <w:pPr>
        <w:widowControl/>
        <w:spacing w:before="176" w:line="288" w:lineRule="auto"/>
        <w:jc w:val="left"/>
        <w:rPr>
          <w:rFonts w:ascii="黑体" w:eastAsia="黑体" w:hAnsi="黑体"/>
          <w:b/>
          <w:bCs/>
          <w:kern w:val="24"/>
          <w:sz w:val="28"/>
          <w:szCs w:val="28"/>
          <w:highlight w:val="none"/>
        </w:rPr>
      </w:pPr>
    </w:p>
    <w:p>
      <w:pPr>
        <w:widowControl/>
        <w:spacing w:before="176" w:line="288" w:lineRule="auto"/>
        <w:jc w:val="left"/>
        <w:rPr>
          <w:rFonts w:ascii="黑体" w:eastAsia="黑体" w:hAnsi="黑体"/>
          <w:b/>
          <w:bCs/>
          <w:kern w:val="24"/>
          <w:sz w:val="28"/>
          <w:szCs w:val="28"/>
          <w:highlight w:val="none"/>
        </w:rPr>
      </w:pPr>
    </w:p>
    <w:p>
      <w:pPr>
        <w:widowControl/>
        <w:spacing w:before="176" w:line="288" w:lineRule="auto"/>
        <w:jc w:val="left"/>
        <w:rPr>
          <w:rFonts w:ascii="黑体" w:eastAsia="黑体" w:hAnsi="黑体"/>
          <w:b/>
          <w:bCs/>
          <w:kern w:val="24"/>
          <w:sz w:val="28"/>
          <w:szCs w:val="28"/>
          <w:highlight w:val="none"/>
        </w:rPr>
      </w:pPr>
    </w:p>
    <w:p>
      <w:pPr>
        <w:widowControl/>
        <w:jc w:val="left"/>
        <w:rPr>
          <w:rFonts w:ascii="黑体" w:eastAsia="黑体" w:hAnsi="黑体"/>
          <w:b/>
          <w:bCs/>
          <w:kern w:val="24"/>
          <w:sz w:val="28"/>
          <w:szCs w:val="28"/>
          <w:highlight w:val="none"/>
        </w:rPr>
      </w:pPr>
    </w:p>
    <w:p>
      <w:pPr>
        <w:widowControl/>
        <w:jc w:val="left"/>
        <w:rPr>
          <w:rFonts w:ascii="黑体" w:eastAsia="黑体" w:hAnsi="黑体"/>
          <w:bCs/>
          <w:kern w:val="24"/>
          <w:sz w:val="28"/>
          <w:szCs w:val="28"/>
          <w:highlight w:val="none"/>
        </w:rPr>
      </w:pPr>
      <w:r>
        <w:rPr>
          <w:rFonts w:ascii="黑体" w:eastAsia="黑体" w:hAnsi="黑体" w:hint="eastAsia"/>
          <w:b/>
          <w:bCs/>
          <w:kern w:val="24"/>
          <w:sz w:val="28"/>
          <w:szCs w:val="28"/>
          <w:highlight w:val="none"/>
        </w:rPr>
        <w:t xml:space="preserve">校 </w:t>
      </w:r>
      <w:r>
        <w:rPr>
          <w:rFonts w:ascii="黑体" w:eastAsia="黑体" w:hAnsi="黑体"/>
          <w:b/>
          <w:bCs/>
          <w:kern w:val="24"/>
          <w:sz w:val="28"/>
          <w:szCs w:val="28"/>
          <w:highlight w:val="none"/>
        </w:rPr>
        <w:t xml:space="preserve"> </w:t>
      </w:r>
      <w:r>
        <w:rPr>
          <w:rFonts w:ascii="黑体" w:eastAsia="黑体" w:hAnsi="黑体" w:hint="eastAsia"/>
          <w:b/>
          <w:bCs/>
          <w:kern w:val="24"/>
          <w:sz w:val="28"/>
          <w:szCs w:val="28"/>
          <w:highlight w:val="none"/>
        </w:rPr>
        <w:t xml:space="preserve">核： </w:t>
      </w:r>
      <w:r>
        <w:rPr>
          <w:rFonts w:ascii="黑体" w:eastAsia="黑体" w:hAnsi="黑体" w:hint="eastAsia"/>
          <w:bCs/>
          <w:kern w:val="24"/>
          <w:sz w:val="28"/>
          <w:szCs w:val="28"/>
          <w:highlight w:val="none"/>
        </w:rPr>
        <w:t>刘红娟</w:t>
      </w:r>
      <w:r>
        <w:rPr>
          <w:rFonts w:ascii="黑体" w:eastAsia="黑体" w:hAnsi="黑体"/>
          <w:bCs/>
          <w:kern w:val="24"/>
          <w:sz w:val="28"/>
          <w:szCs w:val="28"/>
          <w:highlight w:val="none"/>
        </w:rPr>
        <w:t>____________ (</w:t>
      </w:r>
      <w:r>
        <w:rPr>
          <w:rFonts w:ascii="黑体" w:eastAsia="黑体" w:hAnsi="黑体" w:hint="eastAsia"/>
          <w:bCs/>
          <w:kern w:val="24"/>
          <w:sz w:val="28"/>
          <w:szCs w:val="28"/>
          <w:highlight w:val="none"/>
        </w:rPr>
        <w:t>工程师，国家</w:t>
      </w:r>
      <w:r>
        <w:rPr>
          <w:rFonts w:ascii="黑体" w:eastAsia="黑体" w:hAnsi="黑体"/>
          <w:bCs/>
          <w:kern w:val="24"/>
          <w:sz w:val="28"/>
          <w:szCs w:val="28"/>
          <w:highlight w:val="none"/>
        </w:rPr>
        <w:t>注册城乡规划师</w:t>
      </w:r>
      <w:r>
        <w:rPr>
          <w:rFonts w:ascii="黑体" w:eastAsia="黑体" w:hAnsi="黑体" w:hint="eastAsia"/>
          <w:bCs/>
          <w:kern w:val="24"/>
          <w:sz w:val="28"/>
          <w:szCs w:val="28"/>
          <w:highlight w:val="none"/>
        </w:rPr>
        <w:t>）</w:t>
      </w:r>
      <w:bookmarkEnd w:id="0"/>
    </w:p>
    <w:p>
      <w:pPr>
        <w:widowControl/>
        <w:jc w:val="left"/>
        <w:rPr>
          <w:rFonts w:ascii="黑体" w:eastAsia="黑体" w:hAnsi="黑体"/>
          <w:b/>
          <w:bCs/>
          <w:kern w:val="24"/>
          <w:sz w:val="28"/>
          <w:szCs w:val="28"/>
          <w:highlight w:val="none"/>
        </w:rPr>
      </w:pPr>
      <w:r>
        <w:rPr>
          <w:rFonts w:ascii="黑体" w:eastAsia="黑体" w:hAnsi="黑体" w:hint="eastAsia"/>
          <w:b/>
          <w:bCs/>
          <w:kern w:val="24"/>
          <w:sz w:val="28"/>
          <w:szCs w:val="28"/>
          <w:highlight w:val="none"/>
        </w:rPr>
        <w:t xml:space="preserve">审 </w:t>
      </w:r>
      <w:r>
        <w:rPr>
          <w:rFonts w:ascii="黑体" w:eastAsia="黑体" w:hAnsi="黑体"/>
          <w:b/>
          <w:bCs/>
          <w:kern w:val="24"/>
          <w:sz w:val="28"/>
          <w:szCs w:val="28"/>
          <w:highlight w:val="none"/>
        </w:rPr>
        <w:t xml:space="preserve"> </w:t>
      </w:r>
      <w:r>
        <w:rPr>
          <w:rFonts w:ascii="黑体" w:eastAsia="黑体" w:hAnsi="黑体" w:hint="eastAsia"/>
          <w:b/>
          <w:bCs/>
          <w:kern w:val="24"/>
          <w:sz w:val="28"/>
          <w:szCs w:val="28"/>
          <w:highlight w:val="none"/>
        </w:rPr>
        <w:t xml:space="preserve">核： </w:t>
      </w:r>
      <w:r>
        <w:rPr>
          <w:rFonts w:ascii="黑体" w:eastAsia="黑体" w:hAnsi="黑体" w:hint="eastAsia"/>
          <w:bCs/>
          <w:kern w:val="24"/>
          <w:sz w:val="28"/>
          <w:szCs w:val="28"/>
          <w:highlight w:val="none"/>
        </w:rPr>
        <w:t>张晓婷</w:t>
      </w:r>
      <w:r>
        <w:rPr>
          <w:rFonts w:ascii="黑体" w:eastAsia="黑体" w:hAnsi="黑体"/>
          <w:bCs/>
          <w:kern w:val="24"/>
          <w:sz w:val="28"/>
          <w:szCs w:val="28"/>
          <w:highlight w:val="none"/>
        </w:rPr>
        <w:t>____________</w:t>
      </w:r>
      <w:r>
        <w:rPr>
          <w:rFonts w:ascii="黑体" w:eastAsia="黑体" w:hAnsi="黑体" w:hint="eastAsia"/>
          <w:bCs/>
          <w:kern w:val="24"/>
          <w:sz w:val="28"/>
          <w:szCs w:val="28"/>
          <w:highlight w:val="none"/>
        </w:rPr>
        <w:t>（高级工程师）</w:t>
      </w:r>
    </w:p>
    <w:p>
      <w:pPr>
        <w:widowControl/>
        <w:jc w:val="left"/>
        <w:rPr>
          <w:rFonts w:ascii="Times New Roman" w:eastAsia="宋体" w:hAnsi="Times New Roman"/>
          <w:sz w:val="28"/>
          <w:szCs w:val="28"/>
          <w:highlight w:val="none"/>
          <w:lang w:val="zh-CN"/>
        </w:rPr>
        <w:sectPr>
          <w:headerReference w:type="even" r:id="rId14"/>
          <w:headerReference w:type="default" r:id="rId15"/>
          <w:footerReference w:type="even" r:id="rId16"/>
          <w:footerReference w:type="default" r:id="rId17"/>
          <w:footerReference w:type="first" r:id="rId18"/>
          <w:pgSz w:w="23814" w:h="16839" w:orient="landscape"/>
          <w:pgMar w:top="1800" w:right="1440" w:bottom="1800" w:left="1440" w:header="851" w:footer="992" w:gutter="0"/>
          <w:pgBorders w:offsetFrom="page">
            <w:top w:val="single" w:sz="8" w:space="24" w:color="auto"/>
            <w:left w:val="single" w:sz="8" w:space="24" w:color="auto"/>
            <w:bottom w:val="single" w:sz="8" w:space="24" w:color="auto"/>
            <w:right w:val="single" w:sz="8" w:space="24" w:color="auto"/>
          </w:pgBorders>
          <w:pgNumType w:start="0"/>
          <w:cols w:num="2" w:space="720" w:equalWidth="0">
            <w:col w:w="10254" w:space="425"/>
            <w:col w:w="10254"/>
          </w:cols>
          <w:titlePg/>
          <w:docGrid w:type="lines" w:linePitch="312" w:charSpace="0"/>
        </w:sectPr>
      </w:pPr>
    </w:p>
    <w:sdt>
      <w:sdtPr>
        <w:rPr>
          <w:rFonts w:asciiTheme="minorHAnsi" w:eastAsiaTheme="minorEastAsia" w:hAnsiTheme="minorHAnsi" w:cstheme="minorBidi"/>
          <w:b w:val="0"/>
          <w:smallCaps/>
          <w:color w:val="auto"/>
          <w:kern w:val="2"/>
          <w:sz w:val="21"/>
          <w:szCs w:val="22"/>
          <w:highlight w:val="none"/>
          <w:lang w:val="zh-CN"/>
        </w:rPr>
        <w:id w:val="1582942060"/>
        <w:docPartObj>
          <w:docPartGallery w:val="Table of Contents"/>
          <w:docPartUnique/>
        </w:docPartObj>
      </w:sdtPr>
      <w:sdtEndPr>
        <w:rPr>
          <w:rFonts w:ascii="宋体" w:eastAsia="宋体" w:hAnsi="宋体" w:cs="宋体" w:hint="eastAsia"/>
          <w:b w:val="0"/>
          <w:smallCaps/>
          <w:color w:val="auto"/>
          <w:kern w:val="2"/>
          <w:sz w:val="24"/>
          <w:szCs w:val="24"/>
          <w:highlight w:val="none"/>
          <w:lang w:val="zh-CN"/>
        </w:rPr>
      </w:sdtEndPr>
      <w:sdtContent>
        <w:p>
          <w:pPr>
            <w:pStyle w:val="TOC10"/>
            <w:spacing w:before="260" w:after="260" w:line="360" w:lineRule="auto"/>
            <w:ind w:firstLine="420"/>
            <w:jc w:val="center"/>
            <w:rPr>
              <w:rFonts w:ascii="黑体" w:eastAsia="黑体" w:hAnsi="黑体" w:cs="黑体"/>
              <w:color w:val="auto"/>
              <w:sz w:val="44"/>
              <w:szCs w:val="44"/>
              <w:highlight w:val="none"/>
            </w:rPr>
          </w:pPr>
          <w:r>
            <w:rPr>
              <w:rFonts w:ascii="黑体" w:eastAsia="黑体" w:hAnsi="黑体" w:cs="黑体" w:hint="eastAsia"/>
              <w:color w:val="auto"/>
              <w:sz w:val="36"/>
              <w:szCs w:val="36"/>
              <w:highlight w:val="none"/>
              <w:lang w:val="zh-CN"/>
            </w:rPr>
            <w:t>目</w:t>
          </w:r>
          <w:r>
            <w:rPr>
              <w:rFonts w:ascii="黑体" w:eastAsia="黑体" w:hAnsi="黑体" w:cs="黑体" w:hint="eastAsia"/>
              <w:color w:val="auto"/>
              <w:sz w:val="36"/>
              <w:szCs w:val="36"/>
              <w:highlight w:val="none"/>
            </w:rPr>
            <w:t xml:space="preserve">  </w:t>
          </w:r>
          <w:r>
            <w:rPr>
              <w:rFonts w:ascii="黑体" w:eastAsia="黑体" w:hAnsi="黑体" w:cs="黑体" w:hint="eastAsia"/>
              <w:color w:val="auto"/>
              <w:sz w:val="36"/>
              <w:szCs w:val="36"/>
              <w:highlight w:val="none"/>
              <w:lang w:val="zh-CN"/>
            </w:rPr>
            <w:t>录</w:t>
          </w:r>
        </w:p>
        <w:p>
          <w:pPr>
            <w:pStyle w:val="TOC2"/>
            <w:tabs>
              <w:tab w:val="right" w:leader="dot" w:pos="10253"/>
            </w:tabs>
            <w:spacing w:line="336" w:lineRule="auto"/>
            <w:rPr>
              <w:rFonts w:ascii="宋体" w:hAnsi="宋体" w:cs="宋体"/>
              <w:bCs/>
              <w:sz w:val="24"/>
              <w:szCs w:val="24"/>
              <w:highlight w:val="none"/>
            </w:rPr>
          </w:pP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rFonts w:ascii="宋体" w:eastAsia="宋体" w:hAnsi="宋体" w:cs="宋体" w:hint="eastAsia"/>
              <w:bCs/>
              <w:sz w:val="24"/>
              <w:szCs w:val="24"/>
              <w:highlight w:val="none"/>
              <w:lang w:val="en-US" w:eastAsia="zh-CN"/>
            </w:rPr>
          </w:pPr>
          <w:r>
            <w:rPr>
              <w:rFonts w:ascii="宋体" w:hAnsi="宋体" w:cs="宋体" w:hint="eastAsia"/>
              <w:bCs/>
              <w:sz w:val="24"/>
              <w:szCs w:val="24"/>
              <w:highlight w:val="none"/>
              <w:lang w:val="en-US" w:eastAsia="zh-CN"/>
            </w:rPr>
            <w:t>编制历程</w:t>
          </w:r>
          <w:r>
            <w:rPr>
              <w:b/>
              <w:bCs/>
              <w:sz w:val="24"/>
              <w:szCs w:val="24"/>
            </w:rPr>
            <w:tab/>
          </w:r>
          <w:r>
            <w:rPr>
              <w:rFonts w:hint="eastAsia"/>
              <w:sz w:val="24"/>
              <w:szCs w:val="24"/>
              <w:lang w:val="en-US" w:eastAsia="zh-CN"/>
            </w:rPr>
            <w:t>1</w:t>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TOC \o "1-3" \h \z \u </w:instrText>
          </w:r>
          <w:r>
            <w:rPr>
              <w:rFonts w:ascii="宋体" w:hAnsi="宋体" w:cs="宋体" w:hint="eastAsia"/>
              <w:bCs/>
              <w:sz w:val="24"/>
              <w:szCs w:val="24"/>
              <w:highlight w:val="none"/>
              <w:lang w:val="zh-CN"/>
            </w:rPr>
            <w:fldChar w:fldCharType="separate"/>
          </w: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_Toc543 </w:instrText>
          </w:r>
          <w:r>
            <w:rPr>
              <w:rFonts w:ascii="宋体" w:hAnsi="宋体" w:cs="宋体" w:hint="eastAsia"/>
              <w:bCs/>
              <w:sz w:val="24"/>
              <w:szCs w:val="24"/>
              <w:highlight w:val="none"/>
              <w:lang w:val="zh-CN"/>
            </w:rPr>
            <w:fldChar w:fldCharType="separate"/>
          </w:r>
          <w:r>
            <w:rPr>
              <w:rFonts w:hint="eastAsia"/>
              <w:sz w:val="24"/>
              <w:szCs w:val="24"/>
              <w:highlight w:val="none"/>
            </w:rPr>
            <w:t>各相关部门对《北海市5G通信基础设施专项</w:t>
          </w:r>
          <w:r>
            <w:rPr>
              <w:rFonts w:ascii="宋体" w:hAnsi="宋体" w:cs="宋体" w:hint="eastAsia"/>
              <w:bCs/>
              <w:sz w:val="24"/>
              <w:szCs w:val="24"/>
              <w:highlight w:val="none"/>
              <w:lang w:val="zh-CN"/>
            </w:rPr>
            <w:fldChar w:fldCharType="end"/>
          </w: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_Toc21497 </w:instrText>
          </w:r>
          <w:r>
            <w:rPr>
              <w:rFonts w:ascii="宋体" w:hAnsi="宋体" w:cs="宋体" w:hint="eastAsia"/>
              <w:bCs/>
              <w:sz w:val="24"/>
              <w:szCs w:val="24"/>
              <w:highlight w:val="none"/>
              <w:lang w:val="zh-CN"/>
            </w:rPr>
            <w:fldChar w:fldCharType="separate"/>
          </w:r>
          <w:r>
            <w:rPr>
              <w:rFonts w:hint="eastAsia"/>
              <w:sz w:val="24"/>
              <w:szCs w:val="24"/>
              <w:highlight w:val="none"/>
            </w:rPr>
            <w:t>规划</w:t>
          </w:r>
          <w:r>
            <w:rPr>
              <w:rFonts w:hint="eastAsia"/>
              <w:sz w:val="24"/>
              <w:szCs w:val="24"/>
              <w:highlight w:val="none"/>
              <w:lang w:eastAsia="zh-CN"/>
            </w:rPr>
            <w:t>（</w:t>
          </w:r>
          <w:r>
            <w:rPr>
              <w:rFonts w:hint="eastAsia"/>
              <w:sz w:val="24"/>
              <w:szCs w:val="24"/>
              <w:highlight w:val="none"/>
            </w:rPr>
            <w:t>202</w:t>
          </w:r>
          <w:r>
            <w:rPr>
              <w:rFonts w:hint="eastAsia"/>
              <w:sz w:val="24"/>
              <w:szCs w:val="24"/>
              <w:highlight w:val="none"/>
              <w:lang w:val="en-US" w:eastAsia="zh-CN"/>
            </w:rPr>
            <w:t>3</w:t>
          </w:r>
          <w:r>
            <w:rPr>
              <w:rFonts w:hint="eastAsia"/>
              <w:sz w:val="24"/>
              <w:szCs w:val="24"/>
              <w:highlight w:val="none"/>
            </w:rPr>
            <w:t>-2030</w:t>
          </w:r>
          <w:r>
            <w:rPr>
              <w:rFonts w:hint="eastAsia"/>
              <w:sz w:val="24"/>
              <w:szCs w:val="24"/>
              <w:highlight w:val="none"/>
              <w:lang w:val="en-US" w:eastAsia="zh-CN"/>
            </w:rPr>
            <w:t>年</w:t>
          </w:r>
          <w:r>
            <w:rPr>
              <w:rFonts w:hint="eastAsia"/>
              <w:sz w:val="24"/>
              <w:szCs w:val="24"/>
              <w:highlight w:val="none"/>
              <w:lang w:eastAsia="zh-CN"/>
            </w:rPr>
            <w:t>）</w:t>
          </w:r>
          <w:r>
            <w:rPr>
              <w:rFonts w:hint="eastAsia"/>
              <w:sz w:val="24"/>
              <w:szCs w:val="24"/>
              <w:highlight w:val="none"/>
            </w:rPr>
            <w:t>》的意见及意见执行情况答复</w:t>
          </w:r>
          <w:r>
            <w:rPr>
              <w:sz w:val="24"/>
              <w:szCs w:val="24"/>
            </w:rPr>
            <w:tab/>
          </w:r>
          <w:r>
            <w:rPr>
              <w:sz w:val="24"/>
              <w:szCs w:val="24"/>
            </w:rPr>
            <w:fldChar w:fldCharType="begin"/>
          </w:r>
          <w:r>
            <w:rPr>
              <w:sz w:val="24"/>
              <w:szCs w:val="24"/>
            </w:rPr>
            <w:instrText xml:space="preserve"> PAGEREF _Toc21497 \h </w:instrText>
          </w:r>
          <w:r>
            <w:rPr>
              <w:sz w:val="24"/>
              <w:szCs w:val="24"/>
            </w:rPr>
            <w:fldChar w:fldCharType="separate"/>
          </w:r>
          <w:r>
            <w:rPr>
              <w:sz w:val="24"/>
              <w:szCs w:val="24"/>
            </w:rPr>
            <w:t>2</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rFonts w:ascii="宋体" w:hAnsi="宋体" w:cs="宋体" w:hint="eastAsia"/>
              <w:bCs/>
              <w:sz w:val="24"/>
              <w:szCs w:val="24"/>
              <w:highlight w:val="none"/>
              <w:lang w:val="zh-CN"/>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_Toc26729 </w:instrText>
          </w:r>
          <w:r>
            <w:rPr>
              <w:rFonts w:ascii="宋体" w:hAnsi="宋体" w:cs="宋体" w:hint="eastAsia"/>
              <w:bCs/>
              <w:sz w:val="24"/>
              <w:szCs w:val="24"/>
              <w:highlight w:val="none"/>
              <w:lang w:val="zh-CN"/>
            </w:rPr>
            <w:fldChar w:fldCharType="separate"/>
          </w:r>
          <w:r>
            <w:rPr>
              <w:rFonts w:hint="eastAsia"/>
              <w:sz w:val="24"/>
              <w:szCs w:val="24"/>
              <w:highlight w:val="none"/>
            </w:rPr>
            <w:t>《广西北海市（城区）5G通信基础设施专项规划</w:t>
          </w:r>
          <w:r>
            <w:rPr>
              <w:rFonts w:ascii="宋体" w:hAnsi="宋体" w:cs="宋体" w:hint="eastAsia"/>
              <w:bCs/>
              <w:sz w:val="24"/>
              <w:szCs w:val="24"/>
              <w:highlight w:val="none"/>
              <w:lang w:val="zh-CN"/>
            </w:rPr>
            <w:fldChar w:fldCharType="end"/>
          </w: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_Toc25443 </w:instrText>
          </w:r>
          <w:r>
            <w:rPr>
              <w:rFonts w:ascii="宋体" w:hAnsi="宋体" w:cs="宋体" w:hint="eastAsia"/>
              <w:bCs/>
              <w:sz w:val="24"/>
              <w:szCs w:val="24"/>
              <w:highlight w:val="none"/>
              <w:lang w:val="zh-CN"/>
            </w:rPr>
            <w:fldChar w:fldCharType="separate"/>
          </w:r>
          <w:r>
            <w:rPr>
              <w:rFonts w:hint="eastAsia"/>
              <w:sz w:val="24"/>
              <w:szCs w:val="24"/>
              <w:highlight w:val="none"/>
              <w:lang w:eastAsia="zh-CN"/>
            </w:rPr>
            <w:t>（</w:t>
          </w:r>
          <w:r>
            <w:rPr>
              <w:rFonts w:hint="eastAsia"/>
              <w:sz w:val="24"/>
              <w:szCs w:val="24"/>
              <w:highlight w:val="none"/>
            </w:rPr>
            <w:t>202</w:t>
          </w:r>
          <w:r>
            <w:rPr>
              <w:rFonts w:hint="eastAsia"/>
              <w:sz w:val="24"/>
              <w:szCs w:val="24"/>
              <w:highlight w:val="none"/>
              <w:lang w:val="en-US" w:eastAsia="zh-CN"/>
            </w:rPr>
            <w:t>3</w:t>
          </w:r>
          <w:r>
            <w:rPr>
              <w:rFonts w:hint="eastAsia"/>
              <w:sz w:val="24"/>
              <w:szCs w:val="24"/>
              <w:highlight w:val="none"/>
            </w:rPr>
            <w:t>-2030</w:t>
          </w:r>
          <w:r>
            <w:rPr>
              <w:rFonts w:hint="eastAsia"/>
              <w:sz w:val="24"/>
              <w:szCs w:val="24"/>
              <w:highlight w:val="none"/>
              <w:lang w:val="en-US" w:eastAsia="zh-CN"/>
            </w:rPr>
            <w:t>年</w:t>
          </w:r>
          <w:r>
            <w:rPr>
              <w:rFonts w:hint="eastAsia"/>
              <w:sz w:val="24"/>
              <w:szCs w:val="24"/>
              <w:highlight w:val="none"/>
              <w:lang w:eastAsia="zh-CN"/>
            </w:rPr>
            <w:t>）</w:t>
          </w:r>
          <w:r>
            <w:rPr>
              <w:rFonts w:hint="eastAsia"/>
              <w:sz w:val="24"/>
              <w:szCs w:val="24"/>
              <w:highlight w:val="none"/>
            </w:rPr>
            <w:t>》专家评审意见及意见执行情况答复</w:t>
          </w:r>
          <w:r>
            <w:rPr>
              <w:sz w:val="24"/>
              <w:szCs w:val="24"/>
            </w:rPr>
            <w:tab/>
          </w:r>
          <w:r>
            <w:rPr>
              <w:sz w:val="24"/>
              <w:szCs w:val="24"/>
            </w:rPr>
            <w:fldChar w:fldCharType="begin"/>
          </w:r>
          <w:r>
            <w:rPr>
              <w:sz w:val="24"/>
              <w:szCs w:val="24"/>
            </w:rPr>
            <w:instrText xml:space="preserve"> PAGEREF _Toc25443 \h </w:instrText>
          </w:r>
          <w:r>
            <w:rPr>
              <w:sz w:val="24"/>
              <w:szCs w:val="24"/>
            </w:rPr>
            <w:fldChar w:fldCharType="separate"/>
          </w:r>
          <w:r>
            <w:rPr>
              <w:sz w:val="24"/>
              <w:szCs w:val="24"/>
            </w:rPr>
            <w:t>4</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rFonts w:eastAsia="宋体" w:hint="eastAsia"/>
              <w:sz w:val="24"/>
              <w:szCs w:val="24"/>
              <w:highlight w:val="none"/>
              <w:lang w:val="en-US" w:eastAsia="zh-CN"/>
            </w:rPr>
          </w:pPr>
          <w:r>
            <w:rPr>
              <w:rFonts w:hint="eastAsia"/>
              <w:sz w:val="24"/>
              <w:szCs w:val="24"/>
              <w:highlight w:val="none"/>
            </w:rPr>
            <w:t>《广西北海市（城区）5G通信基础设施专项规划2020-2030》</w:t>
          </w:r>
          <w:r>
            <w:rPr>
              <w:rFonts w:hint="eastAsia"/>
              <w:sz w:val="24"/>
              <w:szCs w:val="24"/>
              <w:highlight w:val="none"/>
              <w:lang w:val="en-US" w:eastAsia="zh-CN"/>
            </w:rPr>
            <w:t>市国土空间规划审批委员会审议意见</w:t>
          </w:r>
          <w:r>
            <w:rPr>
              <w:sz w:val="24"/>
              <w:szCs w:val="24"/>
            </w:rPr>
            <w:tab/>
          </w:r>
          <w:bookmarkStart w:id="1" w:name="_GoBack"/>
          <w:bookmarkEnd w:id="1"/>
          <w:r>
            <w:rPr>
              <w:rFonts w:hint="eastAsia"/>
              <w:sz w:val="24"/>
              <w:szCs w:val="24"/>
              <w:lang w:val="en-US" w:eastAsia="zh-CN"/>
            </w:rPr>
            <w:t>5</w:t>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_Toc14394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第一章 规划概述</w:t>
          </w:r>
          <w:r>
            <w:rPr>
              <w:sz w:val="24"/>
              <w:szCs w:val="24"/>
            </w:rPr>
            <w:tab/>
          </w:r>
          <w:r>
            <w:rPr>
              <w:sz w:val="24"/>
              <w:szCs w:val="24"/>
            </w:rPr>
            <w:fldChar w:fldCharType="begin"/>
          </w:r>
          <w:r>
            <w:rPr>
              <w:sz w:val="24"/>
              <w:szCs w:val="24"/>
            </w:rPr>
            <w:instrText xml:space="preserve"> PAGEREF _Toc14394 \h </w:instrText>
          </w:r>
          <w:r>
            <w:rPr>
              <w:sz w:val="24"/>
              <w:szCs w:val="24"/>
            </w:rPr>
            <w:fldChar w:fldCharType="separate"/>
          </w:r>
          <w:r>
            <w:rPr>
              <w:sz w:val="24"/>
              <w:szCs w:val="24"/>
            </w:rPr>
            <w:t>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_Toc8698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一、规划背景</w:t>
          </w:r>
          <w:r>
            <w:rPr>
              <w:sz w:val="24"/>
              <w:szCs w:val="24"/>
            </w:rPr>
            <w:tab/>
          </w:r>
          <w:r>
            <w:rPr>
              <w:sz w:val="24"/>
              <w:szCs w:val="24"/>
            </w:rPr>
            <w:fldChar w:fldCharType="begin"/>
          </w:r>
          <w:r>
            <w:rPr>
              <w:sz w:val="24"/>
              <w:szCs w:val="24"/>
            </w:rPr>
            <w:instrText xml:space="preserve"> PAGEREF _Toc8698 \h </w:instrText>
          </w:r>
          <w:r>
            <w:rPr>
              <w:sz w:val="24"/>
              <w:szCs w:val="24"/>
            </w:rPr>
            <w:fldChar w:fldCharType="separate"/>
          </w:r>
          <w:r>
            <w:rPr>
              <w:sz w:val="24"/>
              <w:szCs w:val="24"/>
            </w:rPr>
            <w:t>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_Toc14208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二、规划意义</w:t>
          </w:r>
          <w:r>
            <w:rPr>
              <w:sz w:val="24"/>
              <w:szCs w:val="24"/>
            </w:rPr>
            <w:tab/>
          </w:r>
          <w:r>
            <w:rPr>
              <w:sz w:val="24"/>
              <w:szCs w:val="24"/>
            </w:rPr>
            <w:fldChar w:fldCharType="begin"/>
          </w:r>
          <w:r>
            <w:rPr>
              <w:sz w:val="24"/>
              <w:szCs w:val="24"/>
            </w:rPr>
            <w:instrText xml:space="preserve"> PAGEREF _Toc14208 \h </w:instrText>
          </w:r>
          <w:r>
            <w:rPr>
              <w:sz w:val="24"/>
              <w:szCs w:val="24"/>
            </w:rPr>
            <w:fldChar w:fldCharType="separate"/>
          </w:r>
          <w:r>
            <w:rPr>
              <w:sz w:val="24"/>
              <w:szCs w:val="24"/>
            </w:rPr>
            <w:t>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_Toc28495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三、规划范围与年限</w:t>
          </w:r>
          <w:r>
            <w:rPr>
              <w:sz w:val="24"/>
              <w:szCs w:val="24"/>
            </w:rPr>
            <w:tab/>
          </w:r>
          <w:r>
            <w:rPr>
              <w:sz w:val="24"/>
              <w:szCs w:val="24"/>
            </w:rPr>
            <w:fldChar w:fldCharType="begin"/>
          </w:r>
          <w:r>
            <w:rPr>
              <w:sz w:val="24"/>
              <w:szCs w:val="24"/>
            </w:rPr>
            <w:instrText xml:space="preserve"> PAGEREF _Toc28495 \h </w:instrText>
          </w:r>
          <w:r>
            <w:rPr>
              <w:sz w:val="24"/>
              <w:szCs w:val="24"/>
            </w:rPr>
            <w:fldChar w:fldCharType="separate"/>
          </w:r>
          <w:r>
            <w:rPr>
              <w:sz w:val="24"/>
              <w:szCs w:val="24"/>
            </w:rPr>
            <w:t>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_Toc19628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四、规划依据</w:t>
          </w:r>
          <w:r>
            <w:rPr>
              <w:sz w:val="24"/>
              <w:szCs w:val="24"/>
            </w:rPr>
            <w:tab/>
          </w:r>
          <w:r>
            <w:rPr>
              <w:sz w:val="24"/>
              <w:szCs w:val="24"/>
            </w:rPr>
            <w:fldChar w:fldCharType="begin"/>
          </w:r>
          <w:r>
            <w:rPr>
              <w:sz w:val="24"/>
              <w:szCs w:val="24"/>
            </w:rPr>
            <w:instrText xml:space="preserve"> PAGEREF _Toc19628 \h </w:instrText>
          </w:r>
          <w:r>
            <w:rPr>
              <w:sz w:val="24"/>
              <w:szCs w:val="24"/>
            </w:rPr>
            <w:fldChar w:fldCharType="separate"/>
          </w:r>
          <w:r>
            <w:rPr>
              <w:sz w:val="24"/>
              <w:szCs w:val="24"/>
            </w:rPr>
            <w:t>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_Toc7276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五、指导思想</w:t>
          </w:r>
          <w:r>
            <w:rPr>
              <w:sz w:val="24"/>
              <w:szCs w:val="24"/>
            </w:rPr>
            <w:tab/>
          </w:r>
          <w:r>
            <w:rPr>
              <w:sz w:val="24"/>
              <w:szCs w:val="24"/>
            </w:rPr>
            <w:fldChar w:fldCharType="begin"/>
          </w:r>
          <w:r>
            <w:rPr>
              <w:sz w:val="24"/>
              <w:szCs w:val="24"/>
            </w:rPr>
            <w:instrText xml:space="preserve"> PAGEREF _Toc7276 \h </w:instrText>
          </w:r>
          <w:r>
            <w:rPr>
              <w:sz w:val="24"/>
              <w:szCs w:val="24"/>
            </w:rPr>
            <w:fldChar w:fldCharType="separate"/>
          </w:r>
          <w:r>
            <w:rPr>
              <w:sz w:val="24"/>
              <w:szCs w:val="24"/>
            </w:rPr>
            <w:t>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_Toc21266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六、规划目标</w:t>
          </w:r>
          <w:r>
            <w:rPr>
              <w:sz w:val="24"/>
              <w:szCs w:val="24"/>
            </w:rPr>
            <w:tab/>
          </w:r>
          <w:r>
            <w:rPr>
              <w:sz w:val="24"/>
              <w:szCs w:val="24"/>
            </w:rPr>
            <w:fldChar w:fldCharType="begin"/>
          </w:r>
          <w:r>
            <w:rPr>
              <w:sz w:val="24"/>
              <w:szCs w:val="24"/>
            </w:rPr>
            <w:instrText xml:space="preserve"> PAGEREF _Toc21266 \h </w:instrText>
          </w:r>
          <w:r>
            <w:rPr>
              <w:sz w:val="24"/>
              <w:szCs w:val="24"/>
            </w:rPr>
            <w:fldChar w:fldCharType="separate"/>
          </w:r>
          <w:r>
            <w:rPr>
              <w:sz w:val="24"/>
              <w:szCs w:val="24"/>
            </w:rPr>
            <w:t>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_Toc25886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七、规划原则与思路</w:t>
          </w:r>
          <w:r>
            <w:rPr>
              <w:sz w:val="24"/>
              <w:szCs w:val="24"/>
            </w:rPr>
            <w:tab/>
          </w:r>
          <w:r>
            <w:rPr>
              <w:sz w:val="24"/>
              <w:szCs w:val="24"/>
            </w:rPr>
            <w:fldChar w:fldCharType="begin"/>
          </w:r>
          <w:r>
            <w:rPr>
              <w:sz w:val="24"/>
              <w:szCs w:val="24"/>
            </w:rPr>
            <w:instrText xml:space="preserve"> PAGEREF _Toc25886 \h </w:instrText>
          </w:r>
          <w:r>
            <w:rPr>
              <w:sz w:val="24"/>
              <w:szCs w:val="24"/>
            </w:rPr>
            <w:fldChar w:fldCharType="separate"/>
          </w:r>
          <w:r>
            <w:rPr>
              <w:sz w:val="24"/>
              <w:szCs w:val="24"/>
            </w:rPr>
            <w:t>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_Toc22003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八、规划技术路线</w:t>
          </w:r>
          <w:r>
            <w:rPr>
              <w:sz w:val="24"/>
              <w:szCs w:val="24"/>
            </w:rPr>
            <w:tab/>
          </w:r>
          <w:r>
            <w:rPr>
              <w:sz w:val="24"/>
              <w:szCs w:val="24"/>
            </w:rPr>
            <w:fldChar w:fldCharType="begin"/>
          </w:r>
          <w:r>
            <w:rPr>
              <w:sz w:val="24"/>
              <w:szCs w:val="24"/>
            </w:rPr>
            <w:instrText xml:space="preserve"> PAGEREF _Toc22003 \h </w:instrText>
          </w:r>
          <w:r>
            <w:rPr>
              <w:sz w:val="24"/>
              <w:szCs w:val="24"/>
            </w:rPr>
            <w:fldChar w:fldCharType="separate"/>
          </w:r>
          <w:r>
            <w:rPr>
              <w:sz w:val="24"/>
              <w:szCs w:val="24"/>
            </w:rPr>
            <w:t>10</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_Toc29628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九、规划结论</w:t>
          </w:r>
          <w:r>
            <w:rPr>
              <w:sz w:val="24"/>
              <w:szCs w:val="24"/>
            </w:rPr>
            <w:tab/>
          </w:r>
          <w:r>
            <w:rPr>
              <w:sz w:val="24"/>
              <w:szCs w:val="24"/>
            </w:rPr>
            <w:fldChar w:fldCharType="begin"/>
          </w:r>
          <w:r>
            <w:rPr>
              <w:sz w:val="24"/>
              <w:szCs w:val="24"/>
            </w:rPr>
            <w:instrText xml:space="preserve"> PAGEREF _Toc29628 \h </w:instrText>
          </w:r>
          <w:r>
            <w:rPr>
              <w:sz w:val="24"/>
              <w:szCs w:val="24"/>
            </w:rPr>
            <w:fldChar w:fldCharType="separate"/>
          </w:r>
          <w:r>
            <w:rPr>
              <w:sz w:val="24"/>
              <w:szCs w:val="24"/>
            </w:rPr>
            <w:t>10</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_Toc23029 </w:instrText>
          </w:r>
          <w:r>
            <w:rPr>
              <w:rFonts w:ascii="宋体" w:hAnsi="宋体" w:cs="宋体" w:hint="eastAsia"/>
              <w:bCs/>
              <w:sz w:val="24"/>
              <w:szCs w:val="24"/>
              <w:highlight w:val="none"/>
              <w:lang w:val="zh-CN"/>
            </w:rPr>
            <w:fldChar w:fldCharType="separate"/>
          </w:r>
          <w:r>
            <w:rPr>
              <w:rFonts w:ascii="宋体" w:eastAsia="宋体" w:hAnsi="宋体" w:cs="宋体" w:hint="eastAsia"/>
              <w:kern w:val="44"/>
              <w:sz w:val="24"/>
              <w:szCs w:val="24"/>
            </w:rPr>
            <w:t xml:space="preserve">第二章 </w:t>
          </w:r>
          <w:r>
            <w:rPr>
              <w:rFonts w:ascii="宋体" w:eastAsia="宋体" w:hAnsi="宋体" w:cs="宋体" w:hint="eastAsia"/>
              <w:kern w:val="44"/>
              <w:sz w:val="24"/>
              <w:szCs w:val="24"/>
              <w:highlight w:val="none"/>
            </w:rPr>
            <w:t>相关政策规划解读</w:t>
          </w:r>
          <w:r>
            <w:rPr>
              <w:sz w:val="24"/>
              <w:szCs w:val="24"/>
            </w:rPr>
            <w:tab/>
          </w:r>
          <w:r>
            <w:rPr>
              <w:sz w:val="24"/>
              <w:szCs w:val="24"/>
            </w:rPr>
            <w:fldChar w:fldCharType="begin"/>
          </w:r>
          <w:r>
            <w:rPr>
              <w:sz w:val="24"/>
              <w:szCs w:val="24"/>
            </w:rPr>
            <w:instrText xml:space="preserve"> PAGEREF _Toc23029 \h </w:instrText>
          </w:r>
          <w:r>
            <w:rPr>
              <w:sz w:val="24"/>
              <w:szCs w:val="24"/>
            </w:rPr>
            <w:fldChar w:fldCharType="separate"/>
          </w:r>
          <w:r>
            <w:rPr>
              <w:sz w:val="24"/>
              <w:szCs w:val="24"/>
            </w:rPr>
            <w:t>10</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_Toc30527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一、北海市国土空间总体规划（2021-2035年）</w:t>
          </w:r>
          <w:r>
            <w:rPr>
              <w:sz w:val="24"/>
              <w:szCs w:val="24"/>
            </w:rPr>
            <w:tab/>
          </w:r>
          <w:r>
            <w:rPr>
              <w:sz w:val="24"/>
              <w:szCs w:val="24"/>
            </w:rPr>
            <w:fldChar w:fldCharType="begin"/>
          </w:r>
          <w:r>
            <w:rPr>
              <w:sz w:val="24"/>
              <w:szCs w:val="24"/>
            </w:rPr>
            <w:instrText xml:space="preserve"> PAGEREF _Toc30527 \h </w:instrText>
          </w:r>
          <w:r>
            <w:rPr>
              <w:sz w:val="24"/>
              <w:szCs w:val="24"/>
            </w:rPr>
            <w:fldChar w:fldCharType="separate"/>
          </w:r>
          <w:r>
            <w:rPr>
              <w:sz w:val="24"/>
              <w:szCs w:val="24"/>
            </w:rPr>
            <w:t>10</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_Toc17267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二、通讯工程规划</w:t>
          </w:r>
          <w:r>
            <w:rPr>
              <w:sz w:val="24"/>
              <w:szCs w:val="24"/>
            </w:rPr>
            <w:tab/>
          </w:r>
          <w:r>
            <w:rPr>
              <w:sz w:val="24"/>
              <w:szCs w:val="24"/>
            </w:rPr>
            <w:fldChar w:fldCharType="begin"/>
          </w:r>
          <w:r>
            <w:rPr>
              <w:sz w:val="24"/>
              <w:szCs w:val="24"/>
            </w:rPr>
            <w:instrText xml:space="preserve"> PAGEREF _Toc17267 \h </w:instrText>
          </w:r>
          <w:r>
            <w:rPr>
              <w:sz w:val="24"/>
              <w:szCs w:val="24"/>
            </w:rPr>
            <w:fldChar w:fldCharType="separate"/>
          </w:r>
          <w:r>
            <w:rPr>
              <w:sz w:val="24"/>
              <w:szCs w:val="24"/>
            </w:rPr>
            <w:t>11</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_Toc30413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第三章 通讯基础设施现状</w:t>
          </w:r>
          <w:r>
            <w:rPr>
              <w:sz w:val="24"/>
              <w:szCs w:val="24"/>
            </w:rPr>
            <w:tab/>
          </w:r>
          <w:r>
            <w:rPr>
              <w:sz w:val="24"/>
              <w:szCs w:val="24"/>
            </w:rPr>
            <w:fldChar w:fldCharType="begin"/>
          </w:r>
          <w:r>
            <w:rPr>
              <w:sz w:val="24"/>
              <w:szCs w:val="24"/>
            </w:rPr>
            <w:instrText xml:space="preserve"> PAGEREF _Toc30413 \h </w:instrText>
          </w:r>
          <w:r>
            <w:rPr>
              <w:sz w:val="24"/>
              <w:szCs w:val="24"/>
            </w:rPr>
            <w:fldChar w:fldCharType="separate"/>
          </w:r>
          <w:r>
            <w:rPr>
              <w:sz w:val="24"/>
              <w:szCs w:val="24"/>
            </w:rPr>
            <w:t>12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_Toc18508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一、区位条件</w:t>
          </w:r>
          <w:r>
            <w:rPr>
              <w:sz w:val="24"/>
              <w:szCs w:val="24"/>
            </w:rPr>
            <w:tab/>
          </w:r>
          <w:r>
            <w:rPr>
              <w:sz w:val="24"/>
              <w:szCs w:val="24"/>
            </w:rPr>
            <w:fldChar w:fldCharType="begin"/>
          </w:r>
          <w:r>
            <w:rPr>
              <w:sz w:val="24"/>
              <w:szCs w:val="24"/>
            </w:rPr>
            <w:instrText xml:space="preserve"> PAGEREF _Toc18508 \h </w:instrText>
          </w:r>
          <w:r>
            <w:rPr>
              <w:sz w:val="24"/>
              <w:szCs w:val="24"/>
            </w:rPr>
            <w:fldChar w:fldCharType="separate"/>
          </w:r>
          <w:r>
            <w:rPr>
              <w:sz w:val="24"/>
              <w:szCs w:val="24"/>
            </w:rPr>
            <w:t>12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_Toc14039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二、行政区划</w:t>
          </w:r>
          <w:r>
            <w:rPr>
              <w:sz w:val="24"/>
              <w:szCs w:val="24"/>
            </w:rPr>
            <w:tab/>
          </w:r>
          <w:r>
            <w:rPr>
              <w:sz w:val="24"/>
              <w:szCs w:val="24"/>
            </w:rPr>
            <w:fldChar w:fldCharType="begin"/>
          </w:r>
          <w:r>
            <w:rPr>
              <w:sz w:val="24"/>
              <w:szCs w:val="24"/>
            </w:rPr>
            <w:instrText xml:space="preserve"> PAGEREF _Toc14039 \h </w:instrText>
          </w:r>
          <w:r>
            <w:rPr>
              <w:sz w:val="24"/>
              <w:szCs w:val="24"/>
            </w:rPr>
            <w:fldChar w:fldCharType="separate"/>
          </w:r>
          <w:r>
            <w:rPr>
              <w:sz w:val="24"/>
              <w:szCs w:val="24"/>
            </w:rPr>
            <w:t>12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_Toc4370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三、通信网络信息化发展现状</w:t>
          </w:r>
          <w:r>
            <w:rPr>
              <w:sz w:val="24"/>
              <w:szCs w:val="24"/>
            </w:rPr>
            <w:tab/>
          </w:r>
          <w:r>
            <w:rPr>
              <w:sz w:val="24"/>
              <w:szCs w:val="24"/>
            </w:rPr>
            <w:fldChar w:fldCharType="begin"/>
          </w:r>
          <w:r>
            <w:rPr>
              <w:sz w:val="24"/>
              <w:szCs w:val="24"/>
            </w:rPr>
            <w:instrText xml:space="preserve"> PAGEREF _Toc4370 \h </w:instrText>
          </w:r>
          <w:r>
            <w:rPr>
              <w:sz w:val="24"/>
              <w:szCs w:val="24"/>
            </w:rPr>
            <w:fldChar w:fldCharType="separate"/>
          </w:r>
          <w:r>
            <w:rPr>
              <w:sz w:val="24"/>
              <w:szCs w:val="24"/>
            </w:rPr>
            <w:t>12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_Toc25600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四、通信基础设施现状概况</w:t>
          </w:r>
          <w:r>
            <w:rPr>
              <w:sz w:val="24"/>
              <w:szCs w:val="24"/>
            </w:rPr>
            <w:tab/>
          </w:r>
          <w:r>
            <w:rPr>
              <w:sz w:val="24"/>
              <w:szCs w:val="24"/>
            </w:rPr>
            <w:fldChar w:fldCharType="begin"/>
          </w:r>
          <w:r>
            <w:rPr>
              <w:sz w:val="24"/>
              <w:szCs w:val="24"/>
            </w:rPr>
            <w:instrText xml:space="preserve"> PAGEREF _Toc25600 \h </w:instrText>
          </w:r>
          <w:r>
            <w:rPr>
              <w:sz w:val="24"/>
              <w:szCs w:val="24"/>
            </w:rPr>
            <w:fldChar w:fldCharType="separate"/>
          </w:r>
          <w:r>
            <w:rPr>
              <w:sz w:val="24"/>
              <w:szCs w:val="24"/>
            </w:rPr>
            <w:t>12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_Toc3272 </w:instrText>
          </w:r>
          <w:r>
            <w:rPr>
              <w:rFonts w:ascii="宋体" w:hAnsi="宋体" w:cs="宋体" w:hint="eastAsia"/>
              <w:bCs/>
              <w:sz w:val="24"/>
              <w:szCs w:val="24"/>
              <w:highlight w:val="none"/>
              <w:lang w:val="zh-CN"/>
            </w:rPr>
            <w:fldChar w:fldCharType="separate"/>
          </w:r>
          <w:r>
            <w:rPr>
              <w:rFonts w:ascii="Times New Roman" w:eastAsia="宋体" w:hAnsi="Times New Roman" w:cs="Times New Roman" w:hint="eastAsia"/>
              <w:bCs/>
              <w:sz w:val="24"/>
              <w:szCs w:val="24"/>
              <w:highlight w:val="none"/>
            </w:rPr>
            <w:t>1、现状存在</w:t>
          </w:r>
          <w:r>
            <w:rPr>
              <w:rFonts w:ascii="Times New Roman" w:eastAsia="宋体" w:hAnsi="Times New Roman" w:cs="Times New Roman"/>
              <w:bCs/>
              <w:sz w:val="24"/>
              <w:szCs w:val="24"/>
              <w:highlight w:val="none"/>
            </w:rPr>
            <w:t>问题</w:t>
          </w:r>
          <w:r>
            <w:rPr>
              <w:rFonts w:ascii="Times New Roman" w:eastAsia="宋体" w:hAnsi="Times New Roman" w:cs="Times New Roman" w:hint="eastAsia"/>
              <w:bCs/>
              <w:sz w:val="24"/>
              <w:szCs w:val="24"/>
              <w:highlight w:val="none"/>
            </w:rPr>
            <w:t>分析</w:t>
          </w:r>
          <w:r>
            <w:rPr>
              <w:rFonts w:ascii="Times New Roman" w:eastAsia="宋体" w:hAnsi="Times New Roman" w:cs="Times New Roman"/>
              <w:bCs/>
              <w:sz w:val="24"/>
              <w:szCs w:val="24"/>
              <w:highlight w:val="none"/>
            </w:rPr>
            <w:t>总结</w:t>
          </w:r>
          <w:r>
            <w:rPr>
              <w:sz w:val="24"/>
              <w:szCs w:val="24"/>
            </w:rPr>
            <w:tab/>
          </w:r>
          <w:r>
            <w:rPr>
              <w:sz w:val="24"/>
              <w:szCs w:val="24"/>
            </w:rPr>
            <w:fldChar w:fldCharType="begin"/>
          </w:r>
          <w:r>
            <w:rPr>
              <w:sz w:val="24"/>
              <w:szCs w:val="24"/>
            </w:rPr>
            <w:instrText xml:space="preserve"> PAGEREF _Toc3272 \h </w:instrText>
          </w:r>
          <w:r>
            <w:rPr>
              <w:sz w:val="24"/>
              <w:szCs w:val="24"/>
            </w:rPr>
            <w:fldChar w:fldCharType="separate"/>
          </w:r>
          <w:r>
            <w:rPr>
              <w:sz w:val="24"/>
              <w:szCs w:val="24"/>
            </w:rPr>
            <w:t>15</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_Toc6759 </w:instrText>
          </w:r>
          <w:r>
            <w:rPr>
              <w:rFonts w:ascii="宋体" w:hAnsi="宋体" w:cs="宋体" w:hint="eastAsia"/>
              <w:bCs/>
              <w:sz w:val="24"/>
              <w:szCs w:val="24"/>
              <w:highlight w:val="none"/>
              <w:lang w:val="zh-CN"/>
            </w:rPr>
            <w:fldChar w:fldCharType="separate"/>
          </w:r>
          <w:r>
            <w:rPr>
              <w:rFonts w:ascii="Times New Roman" w:eastAsia="宋体" w:hAnsi="Times New Roman" w:cs="Times New Roman" w:hint="eastAsia"/>
              <w:bCs/>
              <w:sz w:val="24"/>
              <w:szCs w:val="24"/>
              <w:highlight w:val="none"/>
            </w:rPr>
            <w:t>2、下一步规划</w:t>
          </w:r>
          <w:r>
            <w:rPr>
              <w:rFonts w:ascii="Times New Roman" w:eastAsia="宋体" w:hAnsi="Times New Roman" w:cs="Times New Roman"/>
              <w:bCs/>
              <w:sz w:val="24"/>
              <w:szCs w:val="24"/>
              <w:highlight w:val="none"/>
            </w:rPr>
            <w:t>解决措施</w:t>
          </w:r>
          <w:r>
            <w:rPr>
              <w:sz w:val="24"/>
              <w:szCs w:val="24"/>
            </w:rPr>
            <w:tab/>
          </w:r>
          <w:r>
            <w:rPr>
              <w:sz w:val="24"/>
              <w:szCs w:val="24"/>
            </w:rPr>
            <w:fldChar w:fldCharType="begin"/>
          </w:r>
          <w:r>
            <w:rPr>
              <w:sz w:val="24"/>
              <w:szCs w:val="24"/>
            </w:rPr>
            <w:instrText xml:space="preserve"> PAGEREF _Toc6759 \h </w:instrText>
          </w:r>
          <w:r>
            <w:rPr>
              <w:sz w:val="24"/>
              <w:szCs w:val="24"/>
            </w:rPr>
            <w:fldChar w:fldCharType="separate"/>
          </w:r>
          <w:r>
            <w:rPr>
              <w:sz w:val="24"/>
              <w:szCs w:val="24"/>
            </w:rPr>
            <w:t>16</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_Toc21401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第四章 5G发展影响因素分析</w:t>
          </w:r>
          <w:r>
            <w:rPr>
              <w:sz w:val="24"/>
              <w:szCs w:val="24"/>
            </w:rPr>
            <w:tab/>
          </w:r>
          <w:r>
            <w:rPr>
              <w:sz w:val="24"/>
              <w:szCs w:val="24"/>
            </w:rPr>
            <w:fldChar w:fldCharType="begin"/>
          </w:r>
          <w:r>
            <w:rPr>
              <w:sz w:val="24"/>
              <w:szCs w:val="24"/>
            </w:rPr>
            <w:instrText xml:space="preserve"> PAGEREF _Toc21401 \h </w:instrText>
          </w:r>
          <w:r>
            <w:rPr>
              <w:sz w:val="24"/>
              <w:szCs w:val="24"/>
            </w:rPr>
            <w:fldChar w:fldCharType="separate"/>
          </w:r>
          <w:r>
            <w:rPr>
              <w:sz w:val="24"/>
              <w:szCs w:val="24"/>
            </w:rPr>
            <w:t>16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_Toc21509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一、宏观政策</w:t>
          </w:r>
          <w:r>
            <w:rPr>
              <w:sz w:val="24"/>
              <w:szCs w:val="24"/>
            </w:rPr>
            <w:tab/>
          </w:r>
          <w:r>
            <w:rPr>
              <w:sz w:val="24"/>
              <w:szCs w:val="24"/>
            </w:rPr>
            <w:fldChar w:fldCharType="begin"/>
          </w:r>
          <w:r>
            <w:rPr>
              <w:sz w:val="24"/>
              <w:szCs w:val="24"/>
            </w:rPr>
            <w:instrText xml:space="preserve"> PAGEREF _Toc21509 \h </w:instrText>
          </w:r>
          <w:r>
            <w:rPr>
              <w:sz w:val="24"/>
              <w:szCs w:val="24"/>
            </w:rPr>
            <w:fldChar w:fldCharType="separate"/>
          </w:r>
          <w:r>
            <w:rPr>
              <w:sz w:val="24"/>
              <w:szCs w:val="24"/>
            </w:rPr>
            <w:t>16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_Toc6183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二、社会经济</w:t>
          </w:r>
          <w:r>
            <w:rPr>
              <w:sz w:val="24"/>
              <w:szCs w:val="24"/>
            </w:rPr>
            <w:tab/>
          </w:r>
          <w:r>
            <w:rPr>
              <w:sz w:val="24"/>
              <w:szCs w:val="24"/>
            </w:rPr>
            <w:fldChar w:fldCharType="begin"/>
          </w:r>
          <w:r>
            <w:rPr>
              <w:sz w:val="24"/>
              <w:szCs w:val="24"/>
            </w:rPr>
            <w:instrText xml:space="preserve"> PAGEREF _Toc6183 \h </w:instrText>
          </w:r>
          <w:r>
            <w:rPr>
              <w:sz w:val="24"/>
              <w:szCs w:val="24"/>
            </w:rPr>
            <w:fldChar w:fldCharType="separate"/>
          </w:r>
          <w:r>
            <w:rPr>
              <w:sz w:val="24"/>
              <w:szCs w:val="24"/>
            </w:rPr>
            <w:t>17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_Toc24386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lang w:val="en-US" w:eastAsia="zh-CN"/>
            </w:rPr>
            <w:t>三、5G通信设施与深沿海和低空经济之间的关联关系</w:t>
          </w:r>
          <w:r>
            <w:rPr>
              <w:sz w:val="24"/>
              <w:szCs w:val="24"/>
            </w:rPr>
            <w:tab/>
          </w:r>
          <w:r>
            <w:rPr>
              <w:sz w:val="24"/>
              <w:szCs w:val="24"/>
            </w:rPr>
            <w:fldChar w:fldCharType="begin"/>
          </w:r>
          <w:r>
            <w:rPr>
              <w:sz w:val="24"/>
              <w:szCs w:val="24"/>
            </w:rPr>
            <w:instrText xml:space="preserve"> PAGEREF _Toc24386 \h </w:instrText>
          </w:r>
          <w:r>
            <w:rPr>
              <w:sz w:val="24"/>
              <w:szCs w:val="24"/>
            </w:rPr>
            <w:fldChar w:fldCharType="separate"/>
          </w:r>
          <w:r>
            <w:rPr>
              <w:sz w:val="24"/>
              <w:szCs w:val="24"/>
            </w:rPr>
            <w:t>17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_Toc25693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四、</w:t>
          </w:r>
          <w:r>
            <w:rPr>
              <w:rFonts w:ascii="宋体" w:eastAsia="宋体" w:hAnsi="宋体" w:cs="宋体" w:hint="eastAsia"/>
              <w:sz w:val="24"/>
              <w:szCs w:val="24"/>
              <w:highlight w:val="none"/>
              <w:lang w:val="en-US" w:eastAsia="zh-CN"/>
            </w:rPr>
            <w:t>海域部分的通信站点数量和覆盖范围，覆盖率要对标附近沿海城市</w:t>
          </w:r>
          <w:r>
            <w:rPr>
              <w:sz w:val="24"/>
              <w:szCs w:val="24"/>
            </w:rPr>
            <w:tab/>
          </w:r>
          <w:r>
            <w:rPr>
              <w:sz w:val="24"/>
              <w:szCs w:val="24"/>
            </w:rPr>
            <w:fldChar w:fldCharType="begin"/>
          </w:r>
          <w:r>
            <w:rPr>
              <w:sz w:val="24"/>
              <w:szCs w:val="24"/>
            </w:rPr>
            <w:instrText xml:space="preserve"> PAGEREF _Toc25693 \h </w:instrText>
          </w:r>
          <w:r>
            <w:rPr>
              <w:sz w:val="24"/>
              <w:szCs w:val="24"/>
            </w:rPr>
            <w:fldChar w:fldCharType="separate"/>
          </w:r>
          <w:r>
            <w:rPr>
              <w:sz w:val="24"/>
              <w:szCs w:val="24"/>
            </w:rPr>
            <w:t>18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_Toc18161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五、5G相关应用案例</w:t>
          </w:r>
          <w:r>
            <w:rPr>
              <w:sz w:val="24"/>
              <w:szCs w:val="24"/>
            </w:rPr>
            <w:tab/>
          </w:r>
          <w:r>
            <w:rPr>
              <w:sz w:val="24"/>
              <w:szCs w:val="24"/>
            </w:rPr>
            <w:fldChar w:fldCharType="begin"/>
          </w:r>
          <w:r>
            <w:rPr>
              <w:sz w:val="24"/>
              <w:szCs w:val="24"/>
            </w:rPr>
            <w:instrText xml:space="preserve"> PAGEREF _Toc18161 \h </w:instrText>
          </w:r>
          <w:r>
            <w:rPr>
              <w:sz w:val="24"/>
              <w:szCs w:val="24"/>
            </w:rPr>
            <w:fldChar w:fldCharType="separate"/>
          </w:r>
          <w:r>
            <w:rPr>
              <w:sz w:val="24"/>
              <w:szCs w:val="24"/>
            </w:rPr>
            <w:t>19</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_Toc1530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第五章 发展目标与需求</w:t>
          </w:r>
          <w:r>
            <w:rPr>
              <w:sz w:val="24"/>
              <w:szCs w:val="24"/>
            </w:rPr>
            <w:tab/>
          </w:r>
          <w:r>
            <w:rPr>
              <w:sz w:val="24"/>
              <w:szCs w:val="24"/>
            </w:rPr>
            <w:fldChar w:fldCharType="begin"/>
          </w:r>
          <w:r>
            <w:rPr>
              <w:sz w:val="24"/>
              <w:szCs w:val="24"/>
            </w:rPr>
            <w:instrText xml:space="preserve"> PAGEREF _Toc1530 \h </w:instrText>
          </w:r>
          <w:r>
            <w:rPr>
              <w:sz w:val="24"/>
              <w:szCs w:val="24"/>
            </w:rPr>
            <w:fldChar w:fldCharType="separate"/>
          </w:r>
          <w:r>
            <w:rPr>
              <w:sz w:val="24"/>
              <w:szCs w:val="24"/>
            </w:rPr>
            <w:t>21</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_Toc8005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一、发展目标</w:t>
          </w:r>
          <w:r>
            <w:rPr>
              <w:sz w:val="24"/>
              <w:szCs w:val="24"/>
            </w:rPr>
            <w:tab/>
          </w:r>
          <w:r>
            <w:rPr>
              <w:sz w:val="24"/>
              <w:szCs w:val="24"/>
            </w:rPr>
            <w:fldChar w:fldCharType="begin"/>
          </w:r>
          <w:r>
            <w:rPr>
              <w:sz w:val="24"/>
              <w:szCs w:val="24"/>
            </w:rPr>
            <w:instrText xml:space="preserve"> PAGEREF _Toc8005 \h </w:instrText>
          </w:r>
          <w:r>
            <w:rPr>
              <w:sz w:val="24"/>
              <w:szCs w:val="24"/>
            </w:rPr>
            <w:fldChar w:fldCharType="separate"/>
          </w:r>
          <w:r>
            <w:rPr>
              <w:sz w:val="24"/>
              <w:szCs w:val="24"/>
            </w:rPr>
            <w:t>21</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_Toc28704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二、发展需求</w:t>
          </w:r>
          <w:r>
            <w:rPr>
              <w:sz w:val="24"/>
              <w:szCs w:val="24"/>
            </w:rPr>
            <w:tab/>
          </w:r>
          <w:r>
            <w:rPr>
              <w:sz w:val="24"/>
              <w:szCs w:val="24"/>
            </w:rPr>
            <w:fldChar w:fldCharType="begin"/>
          </w:r>
          <w:r>
            <w:rPr>
              <w:sz w:val="24"/>
              <w:szCs w:val="24"/>
            </w:rPr>
            <w:instrText xml:space="preserve"> PAGEREF _Toc28704 \h </w:instrText>
          </w:r>
          <w:r>
            <w:rPr>
              <w:sz w:val="24"/>
              <w:szCs w:val="24"/>
            </w:rPr>
            <w:fldChar w:fldCharType="separate"/>
          </w:r>
          <w:r>
            <w:rPr>
              <w:sz w:val="24"/>
              <w:szCs w:val="24"/>
            </w:rPr>
            <w:t>21</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_Toc1936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第六章 5G通信宏基站基础设施布局规划</w:t>
          </w:r>
          <w:r>
            <w:rPr>
              <w:sz w:val="24"/>
              <w:szCs w:val="24"/>
            </w:rPr>
            <w:tab/>
          </w:r>
          <w:r>
            <w:rPr>
              <w:sz w:val="24"/>
              <w:szCs w:val="24"/>
            </w:rPr>
            <w:fldChar w:fldCharType="begin"/>
          </w:r>
          <w:r>
            <w:rPr>
              <w:sz w:val="24"/>
              <w:szCs w:val="24"/>
            </w:rPr>
            <w:instrText xml:space="preserve"> PAGEREF _Toc1936 \h </w:instrText>
          </w:r>
          <w:r>
            <w:rPr>
              <w:sz w:val="24"/>
              <w:szCs w:val="24"/>
            </w:rPr>
            <w:fldChar w:fldCharType="separate"/>
          </w:r>
          <w:r>
            <w:rPr>
              <w:sz w:val="24"/>
              <w:szCs w:val="24"/>
            </w:rPr>
            <w:t>23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_Toc17068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一、市域通信宏基站空间结构规划</w:t>
          </w:r>
          <w:r>
            <w:rPr>
              <w:sz w:val="24"/>
              <w:szCs w:val="24"/>
            </w:rPr>
            <w:tab/>
          </w:r>
          <w:r>
            <w:rPr>
              <w:sz w:val="24"/>
              <w:szCs w:val="24"/>
            </w:rPr>
            <w:fldChar w:fldCharType="begin"/>
          </w:r>
          <w:r>
            <w:rPr>
              <w:sz w:val="24"/>
              <w:szCs w:val="24"/>
            </w:rPr>
            <w:instrText xml:space="preserve"> PAGEREF _Toc17068 \h </w:instrText>
          </w:r>
          <w:r>
            <w:rPr>
              <w:sz w:val="24"/>
              <w:szCs w:val="24"/>
            </w:rPr>
            <w:fldChar w:fldCharType="separate"/>
          </w:r>
          <w:r>
            <w:rPr>
              <w:sz w:val="24"/>
              <w:szCs w:val="24"/>
            </w:rPr>
            <w:t>23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_Toc28354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二、规划场景类型</w:t>
          </w:r>
          <w:r>
            <w:rPr>
              <w:sz w:val="24"/>
              <w:szCs w:val="24"/>
            </w:rPr>
            <w:tab/>
          </w:r>
          <w:r>
            <w:rPr>
              <w:sz w:val="24"/>
              <w:szCs w:val="24"/>
            </w:rPr>
            <w:fldChar w:fldCharType="begin"/>
          </w:r>
          <w:r>
            <w:rPr>
              <w:sz w:val="24"/>
              <w:szCs w:val="24"/>
            </w:rPr>
            <w:instrText xml:space="preserve"> PAGEREF _Toc28354 \h </w:instrText>
          </w:r>
          <w:r>
            <w:rPr>
              <w:sz w:val="24"/>
              <w:szCs w:val="24"/>
            </w:rPr>
            <w:fldChar w:fldCharType="separate"/>
          </w:r>
          <w:r>
            <w:rPr>
              <w:sz w:val="24"/>
              <w:szCs w:val="24"/>
            </w:rPr>
            <w:t>23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_Toc27954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三、市域通信宏基站规划原则</w:t>
          </w:r>
          <w:r>
            <w:rPr>
              <w:sz w:val="24"/>
              <w:szCs w:val="24"/>
            </w:rPr>
            <w:tab/>
          </w:r>
          <w:r>
            <w:rPr>
              <w:sz w:val="24"/>
              <w:szCs w:val="24"/>
            </w:rPr>
            <w:fldChar w:fldCharType="begin"/>
          </w:r>
          <w:r>
            <w:rPr>
              <w:sz w:val="24"/>
              <w:szCs w:val="24"/>
            </w:rPr>
            <w:instrText xml:space="preserve"> PAGEREF _Toc27954 \h </w:instrText>
          </w:r>
          <w:r>
            <w:rPr>
              <w:sz w:val="24"/>
              <w:szCs w:val="24"/>
            </w:rPr>
            <w:fldChar w:fldCharType="separate"/>
          </w:r>
          <w:r>
            <w:rPr>
              <w:sz w:val="24"/>
              <w:szCs w:val="24"/>
            </w:rPr>
            <w:t>24</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_Toc22780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四、基站选址要求</w:t>
          </w:r>
          <w:r>
            <w:rPr>
              <w:sz w:val="24"/>
              <w:szCs w:val="24"/>
            </w:rPr>
            <w:tab/>
          </w:r>
          <w:r>
            <w:rPr>
              <w:sz w:val="24"/>
              <w:szCs w:val="24"/>
            </w:rPr>
            <w:fldChar w:fldCharType="begin"/>
          </w:r>
          <w:r>
            <w:rPr>
              <w:sz w:val="24"/>
              <w:szCs w:val="24"/>
            </w:rPr>
            <w:instrText xml:space="preserve"> PAGEREF _Toc22780 \h </w:instrText>
          </w:r>
          <w:r>
            <w:rPr>
              <w:sz w:val="24"/>
              <w:szCs w:val="24"/>
            </w:rPr>
            <w:fldChar w:fldCharType="separate"/>
          </w:r>
          <w:r>
            <w:rPr>
              <w:sz w:val="24"/>
              <w:szCs w:val="24"/>
            </w:rPr>
            <w:t>26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_Toc21184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六、市域通信宏基站规划方案</w:t>
          </w:r>
          <w:r>
            <w:rPr>
              <w:sz w:val="24"/>
              <w:szCs w:val="24"/>
            </w:rPr>
            <w:tab/>
          </w:r>
          <w:r>
            <w:rPr>
              <w:sz w:val="24"/>
              <w:szCs w:val="24"/>
            </w:rPr>
            <w:fldChar w:fldCharType="begin"/>
          </w:r>
          <w:r>
            <w:rPr>
              <w:sz w:val="24"/>
              <w:szCs w:val="24"/>
            </w:rPr>
            <w:instrText xml:space="preserve"> PAGEREF _Toc21184 \h </w:instrText>
          </w:r>
          <w:r>
            <w:rPr>
              <w:sz w:val="24"/>
              <w:szCs w:val="24"/>
            </w:rPr>
            <w:fldChar w:fldCharType="separate"/>
          </w:r>
          <w:r>
            <w:rPr>
              <w:sz w:val="24"/>
              <w:szCs w:val="24"/>
            </w:rPr>
            <w:t>32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_Toc5821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七、5G基站规划方案</w:t>
          </w:r>
          <w:r>
            <w:rPr>
              <w:sz w:val="24"/>
              <w:szCs w:val="24"/>
            </w:rPr>
            <w:tab/>
          </w:r>
          <w:r>
            <w:rPr>
              <w:sz w:val="24"/>
              <w:szCs w:val="24"/>
            </w:rPr>
            <w:fldChar w:fldCharType="begin"/>
          </w:r>
          <w:r>
            <w:rPr>
              <w:sz w:val="24"/>
              <w:szCs w:val="24"/>
            </w:rPr>
            <w:instrText xml:space="preserve"> PAGEREF _Toc5821 \h </w:instrText>
          </w:r>
          <w:r>
            <w:rPr>
              <w:sz w:val="24"/>
              <w:szCs w:val="24"/>
            </w:rPr>
            <w:fldChar w:fldCharType="separate"/>
          </w:r>
          <w:r>
            <w:rPr>
              <w:sz w:val="24"/>
              <w:szCs w:val="24"/>
            </w:rPr>
            <w:t>34</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_Toc15579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八、5G基站（宏基站）规划覆盖范围</w:t>
          </w:r>
          <w:r>
            <w:rPr>
              <w:sz w:val="24"/>
              <w:szCs w:val="24"/>
            </w:rPr>
            <w:tab/>
          </w:r>
          <w:r>
            <w:rPr>
              <w:sz w:val="24"/>
              <w:szCs w:val="24"/>
            </w:rPr>
            <w:fldChar w:fldCharType="begin"/>
          </w:r>
          <w:r>
            <w:rPr>
              <w:sz w:val="24"/>
              <w:szCs w:val="24"/>
            </w:rPr>
            <w:instrText xml:space="preserve"> PAGEREF _Toc15579 \h </w:instrText>
          </w:r>
          <w:r>
            <w:rPr>
              <w:sz w:val="24"/>
              <w:szCs w:val="24"/>
            </w:rPr>
            <w:fldChar w:fldCharType="separate"/>
          </w:r>
          <w:r>
            <w:rPr>
              <w:sz w:val="24"/>
              <w:szCs w:val="24"/>
            </w:rPr>
            <w:t>35</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_Toc8814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九、5G基站（宏基站）中低空覆盖</w:t>
          </w:r>
          <w:r>
            <w:rPr>
              <w:sz w:val="24"/>
              <w:szCs w:val="24"/>
            </w:rPr>
            <w:tab/>
          </w:r>
          <w:r>
            <w:rPr>
              <w:sz w:val="24"/>
              <w:szCs w:val="24"/>
            </w:rPr>
            <w:fldChar w:fldCharType="begin"/>
          </w:r>
          <w:r>
            <w:rPr>
              <w:sz w:val="24"/>
              <w:szCs w:val="24"/>
            </w:rPr>
            <w:instrText xml:space="preserve"> PAGEREF _Toc8814 \h </w:instrText>
          </w:r>
          <w:r>
            <w:rPr>
              <w:sz w:val="24"/>
              <w:szCs w:val="24"/>
            </w:rPr>
            <w:fldChar w:fldCharType="separate"/>
          </w:r>
          <w:r>
            <w:rPr>
              <w:sz w:val="24"/>
              <w:szCs w:val="24"/>
            </w:rPr>
            <w:t>35</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_Toc8026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十、5G基站（宏基站）规划海面覆盖</w:t>
          </w:r>
          <w:r>
            <w:rPr>
              <w:sz w:val="24"/>
              <w:szCs w:val="24"/>
            </w:rPr>
            <w:tab/>
          </w:r>
          <w:r>
            <w:rPr>
              <w:sz w:val="24"/>
              <w:szCs w:val="24"/>
            </w:rPr>
            <w:fldChar w:fldCharType="begin"/>
          </w:r>
          <w:r>
            <w:rPr>
              <w:sz w:val="24"/>
              <w:szCs w:val="24"/>
            </w:rPr>
            <w:instrText xml:space="preserve"> PAGEREF _Toc8026 \h </w:instrText>
          </w:r>
          <w:r>
            <w:rPr>
              <w:sz w:val="24"/>
              <w:szCs w:val="24"/>
            </w:rPr>
            <w:fldChar w:fldCharType="separate"/>
          </w:r>
          <w:r>
            <w:rPr>
              <w:sz w:val="24"/>
              <w:szCs w:val="24"/>
            </w:rPr>
            <w:t>35</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_Toc16219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十一、5G基站社会资源储备</w:t>
          </w:r>
          <w:r>
            <w:rPr>
              <w:sz w:val="24"/>
              <w:szCs w:val="24"/>
            </w:rPr>
            <w:tab/>
          </w:r>
          <w:r>
            <w:rPr>
              <w:sz w:val="24"/>
              <w:szCs w:val="24"/>
            </w:rPr>
            <w:fldChar w:fldCharType="begin"/>
          </w:r>
          <w:r>
            <w:rPr>
              <w:sz w:val="24"/>
              <w:szCs w:val="24"/>
            </w:rPr>
            <w:instrText xml:space="preserve"> PAGEREF _Toc16219 \h </w:instrText>
          </w:r>
          <w:r>
            <w:rPr>
              <w:sz w:val="24"/>
              <w:szCs w:val="24"/>
            </w:rPr>
            <w:fldChar w:fldCharType="separate"/>
          </w:r>
          <w:r>
            <w:rPr>
              <w:sz w:val="24"/>
              <w:szCs w:val="24"/>
            </w:rPr>
            <w:t>36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_Toc31742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十二、热点容量保障方案</w:t>
          </w:r>
          <w:r>
            <w:rPr>
              <w:sz w:val="24"/>
              <w:szCs w:val="24"/>
            </w:rPr>
            <w:tab/>
          </w:r>
          <w:r>
            <w:rPr>
              <w:sz w:val="24"/>
              <w:szCs w:val="24"/>
            </w:rPr>
            <w:fldChar w:fldCharType="begin"/>
          </w:r>
          <w:r>
            <w:rPr>
              <w:sz w:val="24"/>
              <w:szCs w:val="24"/>
            </w:rPr>
            <w:instrText xml:space="preserve"> PAGEREF _Toc31742 \h </w:instrText>
          </w:r>
          <w:r>
            <w:rPr>
              <w:sz w:val="24"/>
              <w:szCs w:val="24"/>
            </w:rPr>
            <w:fldChar w:fldCharType="separate"/>
          </w:r>
          <w:r>
            <w:rPr>
              <w:sz w:val="24"/>
              <w:szCs w:val="24"/>
            </w:rPr>
            <w:t>36</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_Toc3413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第七章 5G通信室内分布基站基础设施规划</w:t>
          </w:r>
          <w:r>
            <w:rPr>
              <w:sz w:val="24"/>
              <w:szCs w:val="24"/>
            </w:rPr>
            <w:tab/>
          </w:r>
          <w:r>
            <w:rPr>
              <w:sz w:val="24"/>
              <w:szCs w:val="24"/>
            </w:rPr>
            <w:fldChar w:fldCharType="begin"/>
          </w:r>
          <w:r>
            <w:rPr>
              <w:sz w:val="24"/>
              <w:szCs w:val="24"/>
            </w:rPr>
            <w:instrText xml:space="preserve"> PAGEREF _Toc3413 \h </w:instrText>
          </w:r>
          <w:r>
            <w:rPr>
              <w:sz w:val="24"/>
              <w:szCs w:val="24"/>
            </w:rPr>
            <w:fldChar w:fldCharType="separate"/>
          </w:r>
          <w:r>
            <w:rPr>
              <w:sz w:val="24"/>
              <w:szCs w:val="24"/>
            </w:rPr>
            <w:t>36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_Toc27649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一、5G通信室内分布基站规划原则</w:t>
          </w:r>
          <w:r>
            <w:rPr>
              <w:sz w:val="24"/>
              <w:szCs w:val="24"/>
            </w:rPr>
            <w:tab/>
          </w:r>
          <w:r>
            <w:rPr>
              <w:sz w:val="24"/>
              <w:szCs w:val="24"/>
            </w:rPr>
            <w:fldChar w:fldCharType="begin"/>
          </w:r>
          <w:r>
            <w:rPr>
              <w:sz w:val="24"/>
              <w:szCs w:val="24"/>
            </w:rPr>
            <w:instrText xml:space="preserve"> PAGEREF _Toc27649 \h </w:instrText>
          </w:r>
          <w:r>
            <w:rPr>
              <w:sz w:val="24"/>
              <w:szCs w:val="24"/>
            </w:rPr>
            <w:fldChar w:fldCharType="separate"/>
          </w:r>
          <w:r>
            <w:rPr>
              <w:sz w:val="24"/>
              <w:szCs w:val="24"/>
            </w:rPr>
            <w:t>36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_Toc7831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二、5G室内分布基站分规划方案</w:t>
          </w:r>
          <w:r>
            <w:rPr>
              <w:sz w:val="24"/>
              <w:szCs w:val="24"/>
            </w:rPr>
            <w:tab/>
          </w:r>
          <w:r>
            <w:rPr>
              <w:sz w:val="24"/>
              <w:szCs w:val="24"/>
            </w:rPr>
            <w:fldChar w:fldCharType="begin"/>
          </w:r>
          <w:r>
            <w:rPr>
              <w:sz w:val="24"/>
              <w:szCs w:val="24"/>
            </w:rPr>
            <w:instrText xml:space="preserve"> PAGEREF _Toc7831 \h </w:instrText>
          </w:r>
          <w:r>
            <w:rPr>
              <w:sz w:val="24"/>
              <w:szCs w:val="24"/>
            </w:rPr>
            <w:fldChar w:fldCharType="separate"/>
          </w:r>
          <w:r>
            <w:rPr>
              <w:sz w:val="24"/>
              <w:szCs w:val="24"/>
            </w:rPr>
            <w:t>38</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_Toc18166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第八章 重点机房基础设施规划</w:t>
          </w:r>
          <w:r>
            <w:rPr>
              <w:sz w:val="24"/>
              <w:szCs w:val="24"/>
            </w:rPr>
            <w:tab/>
          </w:r>
          <w:r>
            <w:rPr>
              <w:sz w:val="24"/>
              <w:szCs w:val="24"/>
            </w:rPr>
            <w:fldChar w:fldCharType="begin"/>
          </w:r>
          <w:r>
            <w:rPr>
              <w:sz w:val="24"/>
              <w:szCs w:val="24"/>
            </w:rPr>
            <w:instrText xml:space="preserve"> PAGEREF _Toc18166 \h </w:instrText>
          </w:r>
          <w:r>
            <w:rPr>
              <w:sz w:val="24"/>
              <w:szCs w:val="24"/>
            </w:rPr>
            <w:fldChar w:fldCharType="separate"/>
          </w:r>
          <w:r>
            <w:rPr>
              <w:sz w:val="24"/>
              <w:szCs w:val="24"/>
            </w:rPr>
            <w:t>38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_Toc18853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一、重点机房规划原则</w:t>
          </w:r>
          <w:r>
            <w:rPr>
              <w:sz w:val="24"/>
              <w:szCs w:val="24"/>
            </w:rPr>
            <w:tab/>
          </w:r>
          <w:r>
            <w:rPr>
              <w:sz w:val="24"/>
              <w:szCs w:val="24"/>
            </w:rPr>
            <w:fldChar w:fldCharType="begin"/>
          </w:r>
          <w:r>
            <w:rPr>
              <w:sz w:val="24"/>
              <w:szCs w:val="24"/>
            </w:rPr>
            <w:instrText xml:space="preserve"> PAGEREF _Toc18853 \h </w:instrText>
          </w:r>
          <w:r>
            <w:rPr>
              <w:sz w:val="24"/>
              <w:szCs w:val="24"/>
            </w:rPr>
            <w:fldChar w:fldCharType="separate"/>
          </w:r>
          <w:r>
            <w:rPr>
              <w:sz w:val="24"/>
              <w:szCs w:val="24"/>
            </w:rPr>
            <w:t>38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_Toc22947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rPr>
            <w:t xml:space="preserve">二、 </w:t>
          </w:r>
          <w:r>
            <w:rPr>
              <w:rFonts w:ascii="宋体" w:eastAsia="宋体" w:hAnsi="宋体" w:cs="宋体" w:hint="eastAsia"/>
              <w:sz w:val="24"/>
              <w:szCs w:val="24"/>
              <w:highlight w:val="none"/>
            </w:rPr>
            <w:t>重点机房规划方案</w:t>
          </w:r>
          <w:r>
            <w:rPr>
              <w:sz w:val="24"/>
              <w:szCs w:val="24"/>
            </w:rPr>
            <w:tab/>
          </w:r>
          <w:r>
            <w:rPr>
              <w:sz w:val="24"/>
              <w:szCs w:val="24"/>
            </w:rPr>
            <w:fldChar w:fldCharType="begin"/>
          </w:r>
          <w:r>
            <w:rPr>
              <w:sz w:val="24"/>
              <w:szCs w:val="24"/>
            </w:rPr>
            <w:instrText xml:space="preserve"> PAGEREF _Toc22947 \h </w:instrText>
          </w:r>
          <w:r>
            <w:rPr>
              <w:sz w:val="24"/>
              <w:szCs w:val="24"/>
            </w:rPr>
            <w:fldChar w:fldCharType="separate"/>
          </w:r>
          <w:r>
            <w:rPr>
              <w:sz w:val="24"/>
              <w:szCs w:val="24"/>
            </w:rPr>
            <w:t>39</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_Toc32567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第九章 通信管道规划</w:t>
          </w:r>
          <w:r>
            <w:rPr>
              <w:sz w:val="24"/>
              <w:szCs w:val="24"/>
            </w:rPr>
            <w:tab/>
          </w:r>
          <w:r>
            <w:rPr>
              <w:sz w:val="24"/>
              <w:szCs w:val="24"/>
            </w:rPr>
            <w:fldChar w:fldCharType="begin"/>
          </w:r>
          <w:r>
            <w:rPr>
              <w:sz w:val="24"/>
              <w:szCs w:val="24"/>
            </w:rPr>
            <w:instrText xml:space="preserve"> PAGEREF _Toc32567 \h </w:instrText>
          </w:r>
          <w:r>
            <w:rPr>
              <w:sz w:val="24"/>
              <w:szCs w:val="24"/>
            </w:rPr>
            <w:fldChar w:fldCharType="separate"/>
          </w:r>
          <w:r>
            <w:rPr>
              <w:sz w:val="24"/>
              <w:szCs w:val="24"/>
            </w:rPr>
            <w:t>40</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_Toc29892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一、传输管道规划原则</w:t>
          </w:r>
          <w:r>
            <w:rPr>
              <w:sz w:val="24"/>
              <w:szCs w:val="24"/>
            </w:rPr>
            <w:tab/>
          </w:r>
          <w:r>
            <w:rPr>
              <w:sz w:val="24"/>
              <w:szCs w:val="24"/>
            </w:rPr>
            <w:fldChar w:fldCharType="begin"/>
          </w:r>
          <w:r>
            <w:rPr>
              <w:sz w:val="24"/>
              <w:szCs w:val="24"/>
            </w:rPr>
            <w:instrText xml:space="preserve"> PAGEREF _Toc29892 \h </w:instrText>
          </w:r>
          <w:r>
            <w:rPr>
              <w:sz w:val="24"/>
              <w:szCs w:val="24"/>
            </w:rPr>
            <w:fldChar w:fldCharType="separate"/>
          </w:r>
          <w:r>
            <w:rPr>
              <w:sz w:val="24"/>
              <w:szCs w:val="24"/>
            </w:rPr>
            <w:t>40</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_Toc27762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二、传输管道规划方案</w:t>
          </w:r>
          <w:r>
            <w:rPr>
              <w:sz w:val="24"/>
              <w:szCs w:val="24"/>
            </w:rPr>
            <w:tab/>
          </w:r>
          <w:r>
            <w:rPr>
              <w:sz w:val="24"/>
              <w:szCs w:val="24"/>
            </w:rPr>
            <w:fldChar w:fldCharType="begin"/>
          </w:r>
          <w:r>
            <w:rPr>
              <w:sz w:val="24"/>
              <w:szCs w:val="24"/>
            </w:rPr>
            <w:instrText xml:space="preserve"> PAGEREF _Toc27762 \h </w:instrText>
          </w:r>
          <w:r>
            <w:rPr>
              <w:sz w:val="24"/>
              <w:szCs w:val="24"/>
            </w:rPr>
            <w:fldChar w:fldCharType="separate"/>
          </w:r>
          <w:r>
            <w:rPr>
              <w:sz w:val="24"/>
              <w:szCs w:val="24"/>
            </w:rPr>
            <w:t>42</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_Toc13310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第十章 光交节点基础设施规划</w:t>
          </w:r>
          <w:r>
            <w:rPr>
              <w:sz w:val="24"/>
              <w:szCs w:val="24"/>
            </w:rPr>
            <w:tab/>
          </w:r>
          <w:r>
            <w:rPr>
              <w:sz w:val="24"/>
              <w:szCs w:val="24"/>
            </w:rPr>
            <w:fldChar w:fldCharType="begin"/>
          </w:r>
          <w:r>
            <w:rPr>
              <w:sz w:val="24"/>
              <w:szCs w:val="24"/>
            </w:rPr>
            <w:instrText xml:space="preserve"> PAGEREF _Toc13310 \h </w:instrText>
          </w:r>
          <w:r>
            <w:rPr>
              <w:sz w:val="24"/>
              <w:szCs w:val="24"/>
            </w:rPr>
            <w:fldChar w:fldCharType="separate"/>
          </w:r>
          <w:r>
            <w:rPr>
              <w:sz w:val="24"/>
              <w:szCs w:val="24"/>
            </w:rPr>
            <w:t>42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_Toc3436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一、光交节点规划原则</w:t>
          </w:r>
          <w:r>
            <w:rPr>
              <w:sz w:val="24"/>
              <w:szCs w:val="24"/>
            </w:rPr>
            <w:tab/>
          </w:r>
          <w:r>
            <w:rPr>
              <w:sz w:val="24"/>
              <w:szCs w:val="24"/>
            </w:rPr>
            <w:fldChar w:fldCharType="begin"/>
          </w:r>
          <w:r>
            <w:rPr>
              <w:sz w:val="24"/>
              <w:szCs w:val="24"/>
            </w:rPr>
            <w:instrText xml:space="preserve"> PAGEREF _Toc3436 \h </w:instrText>
          </w:r>
          <w:r>
            <w:rPr>
              <w:sz w:val="24"/>
              <w:szCs w:val="24"/>
            </w:rPr>
            <w:fldChar w:fldCharType="separate"/>
          </w:r>
          <w:r>
            <w:rPr>
              <w:sz w:val="24"/>
              <w:szCs w:val="24"/>
            </w:rPr>
            <w:t>42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_Toc7357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二、光交节点规划方案</w:t>
          </w:r>
          <w:r>
            <w:rPr>
              <w:sz w:val="24"/>
              <w:szCs w:val="24"/>
            </w:rPr>
            <w:tab/>
          </w:r>
          <w:r>
            <w:rPr>
              <w:sz w:val="24"/>
              <w:szCs w:val="24"/>
            </w:rPr>
            <w:fldChar w:fldCharType="begin"/>
          </w:r>
          <w:r>
            <w:rPr>
              <w:sz w:val="24"/>
              <w:szCs w:val="24"/>
            </w:rPr>
            <w:instrText xml:space="preserve"> PAGEREF _Toc7357 \h </w:instrText>
          </w:r>
          <w:r>
            <w:rPr>
              <w:sz w:val="24"/>
              <w:szCs w:val="24"/>
            </w:rPr>
            <w:fldChar w:fldCharType="separate"/>
          </w:r>
          <w:r>
            <w:rPr>
              <w:sz w:val="24"/>
              <w:szCs w:val="24"/>
            </w:rPr>
            <w:t>42</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_Toc15725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第十一章 传输杆路基础设施规划</w:t>
          </w:r>
          <w:r>
            <w:rPr>
              <w:sz w:val="24"/>
              <w:szCs w:val="24"/>
            </w:rPr>
            <w:tab/>
          </w:r>
          <w:r>
            <w:rPr>
              <w:sz w:val="24"/>
              <w:szCs w:val="24"/>
            </w:rPr>
            <w:fldChar w:fldCharType="begin"/>
          </w:r>
          <w:r>
            <w:rPr>
              <w:sz w:val="24"/>
              <w:szCs w:val="24"/>
            </w:rPr>
            <w:instrText xml:space="preserve"> PAGEREF _Toc15725 \h </w:instrText>
          </w:r>
          <w:r>
            <w:rPr>
              <w:sz w:val="24"/>
              <w:szCs w:val="24"/>
            </w:rPr>
            <w:fldChar w:fldCharType="separate"/>
          </w:r>
          <w:r>
            <w:rPr>
              <w:sz w:val="24"/>
              <w:szCs w:val="24"/>
            </w:rPr>
            <w:t>42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_Toc19236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一、传输杆路规划原则</w:t>
          </w:r>
          <w:r>
            <w:rPr>
              <w:sz w:val="24"/>
              <w:szCs w:val="24"/>
            </w:rPr>
            <w:tab/>
          </w:r>
          <w:r>
            <w:rPr>
              <w:sz w:val="24"/>
              <w:szCs w:val="24"/>
            </w:rPr>
            <w:fldChar w:fldCharType="begin"/>
          </w:r>
          <w:r>
            <w:rPr>
              <w:sz w:val="24"/>
              <w:szCs w:val="24"/>
            </w:rPr>
            <w:instrText xml:space="preserve"> PAGEREF _Toc19236 \h </w:instrText>
          </w:r>
          <w:r>
            <w:rPr>
              <w:sz w:val="24"/>
              <w:szCs w:val="24"/>
            </w:rPr>
            <w:fldChar w:fldCharType="separate"/>
          </w:r>
          <w:r>
            <w:rPr>
              <w:sz w:val="24"/>
              <w:szCs w:val="24"/>
            </w:rPr>
            <w:t>43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_Toc32668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二、传输杆路规划方案</w:t>
          </w:r>
          <w:r>
            <w:rPr>
              <w:sz w:val="24"/>
              <w:szCs w:val="24"/>
            </w:rPr>
            <w:tab/>
          </w:r>
          <w:r>
            <w:rPr>
              <w:sz w:val="24"/>
              <w:szCs w:val="24"/>
            </w:rPr>
            <w:fldChar w:fldCharType="begin"/>
          </w:r>
          <w:r>
            <w:rPr>
              <w:sz w:val="24"/>
              <w:szCs w:val="24"/>
            </w:rPr>
            <w:instrText xml:space="preserve"> PAGEREF _Toc32668 \h </w:instrText>
          </w:r>
          <w:r>
            <w:rPr>
              <w:sz w:val="24"/>
              <w:szCs w:val="24"/>
            </w:rPr>
            <w:fldChar w:fldCharType="separate"/>
          </w:r>
          <w:r>
            <w:rPr>
              <w:sz w:val="24"/>
              <w:szCs w:val="24"/>
            </w:rPr>
            <w:t>43</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_Toc654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第十二章 铁塔、机房与市电引入改造</w:t>
          </w:r>
          <w:r>
            <w:rPr>
              <w:sz w:val="24"/>
              <w:szCs w:val="24"/>
            </w:rPr>
            <w:tab/>
          </w:r>
          <w:r>
            <w:rPr>
              <w:sz w:val="24"/>
              <w:szCs w:val="24"/>
            </w:rPr>
            <w:fldChar w:fldCharType="begin"/>
          </w:r>
          <w:r>
            <w:rPr>
              <w:sz w:val="24"/>
              <w:szCs w:val="24"/>
            </w:rPr>
            <w:instrText xml:space="preserve"> PAGEREF _Toc654 \h </w:instrText>
          </w:r>
          <w:r>
            <w:rPr>
              <w:sz w:val="24"/>
              <w:szCs w:val="24"/>
            </w:rPr>
            <w:fldChar w:fldCharType="separate"/>
          </w:r>
          <w:r>
            <w:rPr>
              <w:sz w:val="24"/>
              <w:szCs w:val="24"/>
            </w:rPr>
            <w:t>43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_Toc11546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一、通信铁塔分类及规划原则</w:t>
          </w:r>
          <w:r>
            <w:rPr>
              <w:sz w:val="24"/>
              <w:szCs w:val="24"/>
            </w:rPr>
            <w:tab/>
          </w:r>
          <w:r>
            <w:rPr>
              <w:sz w:val="24"/>
              <w:szCs w:val="24"/>
            </w:rPr>
            <w:fldChar w:fldCharType="begin"/>
          </w:r>
          <w:r>
            <w:rPr>
              <w:sz w:val="24"/>
              <w:szCs w:val="24"/>
            </w:rPr>
            <w:instrText xml:space="preserve"> PAGEREF _Toc11546 \h </w:instrText>
          </w:r>
          <w:r>
            <w:rPr>
              <w:sz w:val="24"/>
              <w:szCs w:val="24"/>
            </w:rPr>
            <w:fldChar w:fldCharType="separate"/>
          </w:r>
          <w:r>
            <w:rPr>
              <w:sz w:val="24"/>
              <w:szCs w:val="24"/>
            </w:rPr>
            <w:t>44</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_Toc5635 </w:instrText>
          </w:r>
          <w:r>
            <w:rPr>
              <w:rFonts w:ascii="宋体" w:hAnsi="宋体" w:cs="宋体" w:hint="eastAsia"/>
              <w:bCs/>
              <w:sz w:val="24"/>
              <w:szCs w:val="24"/>
              <w:highlight w:val="none"/>
              <w:lang w:val="zh-CN"/>
            </w:rPr>
            <w:fldChar w:fldCharType="separate"/>
          </w:r>
          <w:r>
            <w:rPr>
              <w:rFonts w:ascii="Times New Roman" w:eastAsia="宋体" w:hAnsi="Times New Roman" w:cstheme="majorEastAsia" w:hint="eastAsia"/>
              <w:sz w:val="24"/>
              <w:szCs w:val="24"/>
              <w:highlight w:val="none"/>
            </w:rPr>
            <w:t>二、智慧路灯杆规划原则</w:t>
          </w:r>
          <w:r>
            <w:rPr>
              <w:sz w:val="24"/>
              <w:szCs w:val="24"/>
            </w:rPr>
            <w:tab/>
          </w:r>
          <w:r>
            <w:rPr>
              <w:sz w:val="24"/>
              <w:szCs w:val="24"/>
            </w:rPr>
            <w:fldChar w:fldCharType="begin"/>
          </w:r>
          <w:r>
            <w:rPr>
              <w:sz w:val="24"/>
              <w:szCs w:val="24"/>
            </w:rPr>
            <w:instrText xml:space="preserve"> PAGEREF _Toc5635 \h </w:instrText>
          </w:r>
          <w:r>
            <w:rPr>
              <w:sz w:val="24"/>
              <w:szCs w:val="24"/>
            </w:rPr>
            <w:fldChar w:fldCharType="separate"/>
          </w:r>
          <w:r>
            <w:rPr>
              <w:sz w:val="24"/>
              <w:szCs w:val="24"/>
            </w:rPr>
            <w:t>45</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_Toc22927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三、机房及配套规划原则</w:t>
          </w:r>
          <w:r>
            <w:rPr>
              <w:sz w:val="24"/>
              <w:szCs w:val="24"/>
            </w:rPr>
            <w:tab/>
          </w:r>
          <w:r>
            <w:rPr>
              <w:sz w:val="24"/>
              <w:szCs w:val="24"/>
            </w:rPr>
            <w:fldChar w:fldCharType="begin"/>
          </w:r>
          <w:r>
            <w:rPr>
              <w:sz w:val="24"/>
              <w:szCs w:val="24"/>
            </w:rPr>
            <w:instrText xml:space="preserve"> PAGEREF _Toc22927 \h </w:instrText>
          </w:r>
          <w:r>
            <w:rPr>
              <w:sz w:val="24"/>
              <w:szCs w:val="24"/>
            </w:rPr>
            <w:fldChar w:fldCharType="separate"/>
          </w:r>
          <w:r>
            <w:rPr>
              <w:sz w:val="24"/>
              <w:szCs w:val="24"/>
            </w:rPr>
            <w:t>47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_Toc11331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四、存量站址整改的规划原则内容</w:t>
          </w:r>
          <w:r>
            <w:rPr>
              <w:sz w:val="24"/>
              <w:szCs w:val="24"/>
            </w:rPr>
            <w:tab/>
          </w:r>
          <w:r>
            <w:rPr>
              <w:sz w:val="24"/>
              <w:szCs w:val="24"/>
            </w:rPr>
            <w:fldChar w:fldCharType="begin"/>
          </w:r>
          <w:r>
            <w:rPr>
              <w:sz w:val="24"/>
              <w:szCs w:val="24"/>
            </w:rPr>
            <w:instrText xml:space="preserve"> PAGEREF _Toc11331 \h </w:instrText>
          </w:r>
          <w:r>
            <w:rPr>
              <w:sz w:val="24"/>
              <w:szCs w:val="24"/>
            </w:rPr>
            <w:fldChar w:fldCharType="separate"/>
          </w:r>
          <w:r>
            <w:rPr>
              <w:sz w:val="24"/>
              <w:szCs w:val="24"/>
            </w:rPr>
            <w:t>48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_Toc21394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五、防雷接地原则</w:t>
          </w:r>
          <w:r>
            <w:rPr>
              <w:sz w:val="24"/>
              <w:szCs w:val="24"/>
            </w:rPr>
            <w:tab/>
          </w:r>
          <w:r>
            <w:rPr>
              <w:sz w:val="24"/>
              <w:szCs w:val="24"/>
            </w:rPr>
            <w:fldChar w:fldCharType="begin"/>
          </w:r>
          <w:r>
            <w:rPr>
              <w:sz w:val="24"/>
              <w:szCs w:val="24"/>
            </w:rPr>
            <w:instrText xml:space="preserve"> PAGEREF _Toc21394 \h </w:instrText>
          </w:r>
          <w:r>
            <w:rPr>
              <w:sz w:val="24"/>
              <w:szCs w:val="24"/>
            </w:rPr>
            <w:fldChar w:fldCharType="separate"/>
          </w:r>
          <w:r>
            <w:rPr>
              <w:sz w:val="24"/>
              <w:szCs w:val="24"/>
            </w:rPr>
            <w:t>48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_Toc22803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六、抗震设防原则</w:t>
          </w:r>
          <w:r>
            <w:rPr>
              <w:sz w:val="24"/>
              <w:szCs w:val="24"/>
            </w:rPr>
            <w:tab/>
          </w:r>
          <w:r>
            <w:rPr>
              <w:sz w:val="24"/>
              <w:szCs w:val="24"/>
            </w:rPr>
            <w:fldChar w:fldCharType="begin"/>
          </w:r>
          <w:r>
            <w:rPr>
              <w:sz w:val="24"/>
              <w:szCs w:val="24"/>
            </w:rPr>
            <w:instrText xml:space="preserve"> PAGEREF _Toc22803 \h </w:instrText>
          </w:r>
          <w:r>
            <w:rPr>
              <w:sz w:val="24"/>
              <w:szCs w:val="24"/>
            </w:rPr>
            <w:fldChar w:fldCharType="separate"/>
          </w:r>
          <w:r>
            <w:rPr>
              <w:sz w:val="24"/>
              <w:szCs w:val="24"/>
            </w:rPr>
            <w:t>49</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_Toc2353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第十三章 市电引入规划</w:t>
          </w:r>
          <w:r>
            <w:rPr>
              <w:sz w:val="24"/>
              <w:szCs w:val="24"/>
            </w:rPr>
            <w:tab/>
          </w:r>
          <w:r>
            <w:rPr>
              <w:sz w:val="24"/>
              <w:szCs w:val="24"/>
            </w:rPr>
            <w:fldChar w:fldCharType="begin"/>
          </w:r>
          <w:r>
            <w:rPr>
              <w:sz w:val="24"/>
              <w:szCs w:val="24"/>
            </w:rPr>
            <w:instrText xml:space="preserve"> PAGEREF _Toc2353 \h </w:instrText>
          </w:r>
          <w:r>
            <w:rPr>
              <w:sz w:val="24"/>
              <w:szCs w:val="24"/>
            </w:rPr>
            <w:fldChar w:fldCharType="separate"/>
          </w:r>
          <w:r>
            <w:rPr>
              <w:sz w:val="24"/>
              <w:szCs w:val="24"/>
            </w:rPr>
            <w:t>49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_Toc24103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一、市电供电等级分类标准</w:t>
          </w:r>
          <w:r>
            <w:rPr>
              <w:sz w:val="24"/>
              <w:szCs w:val="24"/>
            </w:rPr>
            <w:tab/>
          </w:r>
          <w:r>
            <w:rPr>
              <w:sz w:val="24"/>
              <w:szCs w:val="24"/>
            </w:rPr>
            <w:fldChar w:fldCharType="begin"/>
          </w:r>
          <w:r>
            <w:rPr>
              <w:sz w:val="24"/>
              <w:szCs w:val="24"/>
            </w:rPr>
            <w:instrText xml:space="preserve"> PAGEREF _Toc24103 \h </w:instrText>
          </w:r>
          <w:r>
            <w:rPr>
              <w:sz w:val="24"/>
              <w:szCs w:val="24"/>
            </w:rPr>
            <w:fldChar w:fldCharType="separate"/>
          </w:r>
          <w:r>
            <w:rPr>
              <w:sz w:val="24"/>
              <w:szCs w:val="24"/>
            </w:rPr>
            <w:t>49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_Toc31174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二、市电引入需求</w:t>
          </w:r>
          <w:r>
            <w:rPr>
              <w:sz w:val="24"/>
              <w:szCs w:val="24"/>
            </w:rPr>
            <w:tab/>
          </w:r>
          <w:r>
            <w:rPr>
              <w:sz w:val="24"/>
              <w:szCs w:val="24"/>
            </w:rPr>
            <w:fldChar w:fldCharType="begin"/>
          </w:r>
          <w:r>
            <w:rPr>
              <w:sz w:val="24"/>
              <w:szCs w:val="24"/>
            </w:rPr>
            <w:instrText xml:space="preserve"> PAGEREF _Toc31174 \h </w:instrText>
          </w:r>
          <w:r>
            <w:rPr>
              <w:sz w:val="24"/>
              <w:szCs w:val="24"/>
            </w:rPr>
            <w:fldChar w:fldCharType="separate"/>
          </w:r>
          <w:r>
            <w:rPr>
              <w:sz w:val="24"/>
              <w:szCs w:val="24"/>
            </w:rPr>
            <w:t>49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_Toc14360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三、新增能耗需求</w:t>
          </w:r>
          <w:r>
            <w:rPr>
              <w:sz w:val="24"/>
              <w:szCs w:val="24"/>
            </w:rPr>
            <w:tab/>
          </w:r>
          <w:r>
            <w:rPr>
              <w:sz w:val="24"/>
              <w:szCs w:val="24"/>
            </w:rPr>
            <w:fldChar w:fldCharType="begin"/>
          </w:r>
          <w:r>
            <w:rPr>
              <w:sz w:val="24"/>
              <w:szCs w:val="24"/>
            </w:rPr>
            <w:instrText xml:space="preserve"> PAGEREF _Toc14360 \h </w:instrText>
          </w:r>
          <w:r>
            <w:rPr>
              <w:sz w:val="24"/>
              <w:szCs w:val="24"/>
            </w:rPr>
            <w:fldChar w:fldCharType="separate"/>
          </w:r>
          <w:r>
            <w:rPr>
              <w:sz w:val="24"/>
              <w:szCs w:val="24"/>
            </w:rPr>
            <w:t>51</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_Toc26500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第十四章 宏站规划覆盖盲区解决方案</w:t>
          </w:r>
          <w:r>
            <w:rPr>
              <w:sz w:val="24"/>
              <w:szCs w:val="24"/>
            </w:rPr>
            <w:tab/>
          </w:r>
          <w:r>
            <w:rPr>
              <w:sz w:val="24"/>
              <w:szCs w:val="24"/>
            </w:rPr>
            <w:fldChar w:fldCharType="begin"/>
          </w:r>
          <w:r>
            <w:rPr>
              <w:sz w:val="24"/>
              <w:szCs w:val="24"/>
            </w:rPr>
            <w:instrText xml:space="preserve"> PAGEREF _Toc26500 \h </w:instrText>
          </w:r>
          <w:r>
            <w:rPr>
              <w:sz w:val="24"/>
              <w:szCs w:val="24"/>
            </w:rPr>
            <w:fldChar w:fldCharType="separate"/>
          </w:r>
          <w:r>
            <w:rPr>
              <w:sz w:val="24"/>
              <w:szCs w:val="24"/>
            </w:rPr>
            <w:t>51</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_Toc70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一、直放站</w:t>
          </w:r>
          <w:r>
            <w:rPr>
              <w:sz w:val="24"/>
              <w:szCs w:val="24"/>
            </w:rPr>
            <w:tab/>
          </w:r>
          <w:r>
            <w:rPr>
              <w:sz w:val="24"/>
              <w:szCs w:val="24"/>
            </w:rPr>
            <w:fldChar w:fldCharType="begin"/>
          </w:r>
          <w:r>
            <w:rPr>
              <w:sz w:val="24"/>
              <w:szCs w:val="24"/>
            </w:rPr>
            <w:instrText xml:space="preserve"> PAGEREF _Toc70 \h </w:instrText>
          </w:r>
          <w:r>
            <w:rPr>
              <w:sz w:val="24"/>
              <w:szCs w:val="24"/>
            </w:rPr>
            <w:fldChar w:fldCharType="separate"/>
          </w:r>
          <w:r>
            <w:rPr>
              <w:sz w:val="24"/>
              <w:szCs w:val="24"/>
            </w:rPr>
            <w:t>51</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_Toc20065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二、微站</w:t>
          </w:r>
          <w:r>
            <w:rPr>
              <w:sz w:val="24"/>
              <w:szCs w:val="24"/>
            </w:rPr>
            <w:tab/>
          </w:r>
          <w:r>
            <w:rPr>
              <w:sz w:val="24"/>
              <w:szCs w:val="24"/>
            </w:rPr>
            <w:fldChar w:fldCharType="begin"/>
          </w:r>
          <w:r>
            <w:rPr>
              <w:sz w:val="24"/>
              <w:szCs w:val="24"/>
            </w:rPr>
            <w:instrText xml:space="preserve"> PAGEREF _Toc20065 \h </w:instrText>
          </w:r>
          <w:r>
            <w:rPr>
              <w:sz w:val="24"/>
              <w:szCs w:val="24"/>
            </w:rPr>
            <w:fldChar w:fldCharType="separate"/>
          </w:r>
          <w:r>
            <w:rPr>
              <w:sz w:val="24"/>
              <w:szCs w:val="24"/>
            </w:rPr>
            <w:t>52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_Toc12954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三、室内分布系统</w:t>
          </w:r>
          <w:r>
            <w:rPr>
              <w:sz w:val="24"/>
              <w:szCs w:val="24"/>
            </w:rPr>
            <w:tab/>
          </w:r>
          <w:r>
            <w:rPr>
              <w:sz w:val="24"/>
              <w:szCs w:val="24"/>
            </w:rPr>
            <w:fldChar w:fldCharType="begin"/>
          </w:r>
          <w:r>
            <w:rPr>
              <w:sz w:val="24"/>
              <w:szCs w:val="24"/>
            </w:rPr>
            <w:instrText xml:space="preserve"> PAGEREF _Toc12954 \h </w:instrText>
          </w:r>
          <w:r>
            <w:rPr>
              <w:sz w:val="24"/>
              <w:szCs w:val="24"/>
            </w:rPr>
            <w:fldChar w:fldCharType="separate"/>
          </w:r>
          <w:r>
            <w:rPr>
              <w:sz w:val="24"/>
              <w:szCs w:val="24"/>
            </w:rPr>
            <w:t>52</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_Toc4930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第十五章 投资估算</w:t>
          </w:r>
          <w:r>
            <w:rPr>
              <w:sz w:val="24"/>
              <w:szCs w:val="24"/>
            </w:rPr>
            <w:tab/>
          </w:r>
          <w:r>
            <w:rPr>
              <w:sz w:val="24"/>
              <w:szCs w:val="24"/>
            </w:rPr>
            <w:fldChar w:fldCharType="begin"/>
          </w:r>
          <w:r>
            <w:rPr>
              <w:sz w:val="24"/>
              <w:szCs w:val="24"/>
            </w:rPr>
            <w:instrText xml:space="preserve"> PAGEREF _Toc4930 \h </w:instrText>
          </w:r>
          <w:r>
            <w:rPr>
              <w:sz w:val="24"/>
              <w:szCs w:val="24"/>
            </w:rPr>
            <w:fldChar w:fldCharType="separate"/>
          </w:r>
          <w:r>
            <w:rPr>
              <w:sz w:val="24"/>
              <w:szCs w:val="24"/>
            </w:rPr>
            <w:t>52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_Toc7808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一、估算依据</w:t>
          </w:r>
          <w:r>
            <w:rPr>
              <w:sz w:val="24"/>
              <w:szCs w:val="24"/>
            </w:rPr>
            <w:tab/>
          </w:r>
          <w:r>
            <w:rPr>
              <w:sz w:val="24"/>
              <w:szCs w:val="24"/>
            </w:rPr>
            <w:fldChar w:fldCharType="begin"/>
          </w:r>
          <w:r>
            <w:rPr>
              <w:sz w:val="24"/>
              <w:szCs w:val="24"/>
            </w:rPr>
            <w:instrText xml:space="preserve"> PAGEREF _Toc7808 \h </w:instrText>
          </w:r>
          <w:r>
            <w:rPr>
              <w:sz w:val="24"/>
              <w:szCs w:val="24"/>
            </w:rPr>
            <w:fldChar w:fldCharType="separate"/>
          </w:r>
          <w:r>
            <w:rPr>
              <w:sz w:val="24"/>
              <w:szCs w:val="24"/>
            </w:rPr>
            <w:t>52</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_Toc13717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第十六章 环境保护规划</w:t>
          </w:r>
          <w:r>
            <w:rPr>
              <w:sz w:val="24"/>
              <w:szCs w:val="24"/>
            </w:rPr>
            <w:tab/>
          </w:r>
          <w:r>
            <w:rPr>
              <w:sz w:val="24"/>
              <w:szCs w:val="24"/>
            </w:rPr>
            <w:fldChar w:fldCharType="begin"/>
          </w:r>
          <w:r>
            <w:rPr>
              <w:sz w:val="24"/>
              <w:szCs w:val="24"/>
            </w:rPr>
            <w:instrText xml:space="preserve"> PAGEREF _Toc13717 \h </w:instrText>
          </w:r>
          <w:r>
            <w:rPr>
              <w:sz w:val="24"/>
              <w:szCs w:val="24"/>
            </w:rPr>
            <w:fldChar w:fldCharType="separate"/>
          </w:r>
          <w:r>
            <w:rPr>
              <w:sz w:val="24"/>
              <w:szCs w:val="24"/>
            </w:rPr>
            <w:t>52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_Toc17558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一、环境保护规划依据</w:t>
          </w:r>
          <w:r>
            <w:rPr>
              <w:sz w:val="24"/>
              <w:szCs w:val="24"/>
            </w:rPr>
            <w:tab/>
          </w:r>
          <w:r>
            <w:rPr>
              <w:sz w:val="24"/>
              <w:szCs w:val="24"/>
            </w:rPr>
            <w:fldChar w:fldCharType="begin"/>
          </w:r>
          <w:r>
            <w:rPr>
              <w:sz w:val="24"/>
              <w:szCs w:val="24"/>
            </w:rPr>
            <w:instrText xml:space="preserve"> PAGEREF _Toc17558 \h </w:instrText>
          </w:r>
          <w:r>
            <w:rPr>
              <w:sz w:val="24"/>
              <w:szCs w:val="24"/>
            </w:rPr>
            <w:fldChar w:fldCharType="separate"/>
          </w:r>
          <w:r>
            <w:rPr>
              <w:sz w:val="24"/>
              <w:szCs w:val="24"/>
            </w:rPr>
            <w:t>52</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_Toc24260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二、环境保护规划原则</w:t>
          </w:r>
          <w:r>
            <w:rPr>
              <w:sz w:val="24"/>
              <w:szCs w:val="24"/>
            </w:rPr>
            <w:tab/>
          </w:r>
          <w:r>
            <w:rPr>
              <w:sz w:val="24"/>
              <w:szCs w:val="24"/>
            </w:rPr>
            <w:fldChar w:fldCharType="begin"/>
          </w:r>
          <w:r>
            <w:rPr>
              <w:sz w:val="24"/>
              <w:szCs w:val="24"/>
            </w:rPr>
            <w:instrText xml:space="preserve"> PAGEREF _Toc24260 \h </w:instrText>
          </w:r>
          <w:r>
            <w:rPr>
              <w:sz w:val="24"/>
              <w:szCs w:val="24"/>
            </w:rPr>
            <w:fldChar w:fldCharType="separate"/>
          </w:r>
          <w:r>
            <w:rPr>
              <w:sz w:val="24"/>
              <w:szCs w:val="24"/>
            </w:rPr>
            <w:t>53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pos="4800"/>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_Toc11997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三、工程对环境的影响</w:t>
          </w:r>
          <w:r>
            <w:rPr>
              <w:rFonts w:ascii="宋体" w:eastAsia="宋体" w:hAnsi="宋体" w:cs="宋体" w:hint="eastAsia"/>
              <w:sz w:val="24"/>
              <w:szCs w:val="24"/>
              <w:highlight w:val="none"/>
            </w:rPr>
            <w:tab/>
          </w:r>
          <w:r>
            <w:rPr>
              <w:sz w:val="24"/>
              <w:szCs w:val="24"/>
            </w:rPr>
            <w:tab/>
          </w:r>
          <w:r>
            <w:rPr>
              <w:sz w:val="24"/>
              <w:szCs w:val="24"/>
            </w:rPr>
            <w:fldChar w:fldCharType="begin"/>
          </w:r>
          <w:r>
            <w:rPr>
              <w:sz w:val="24"/>
              <w:szCs w:val="24"/>
            </w:rPr>
            <w:instrText xml:space="preserve"> PAGEREF _Toc11997 \h </w:instrText>
          </w:r>
          <w:r>
            <w:rPr>
              <w:sz w:val="24"/>
              <w:szCs w:val="24"/>
            </w:rPr>
            <w:fldChar w:fldCharType="separate"/>
          </w:r>
          <w:r>
            <w:rPr>
              <w:sz w:val="24"/>
              <w:szCs w:val="24"/>
            </w:rPr>
            <w:t>53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_Toc17947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四、节能减排方式</w:t>
          </w:r>
          <w:r>
            <w:rPr>
              <w:sz w:val="24"/>
              <w:szCs w:val="24"/>
            </w:rPr>
            <w:tab/>
          </w:r>
          <w:r>
            <w:rPr>
              <w:sz w:val="24"/>
              <w:szCs w:val="24"/>
            </w:rPr>
            <w:fldChar w:fldCharType="begin"/>
          </w:r>
          <w:r>
            <w:rPr>
              <w:sz w:val="24"/>
              <w:szCs w:val="24"/>
            </w:rPr>
            <w:instrText xml:space="preserve"> PAGEREF _Toc17947 \h </w:instrText>
          </w:r>
          <w:r>
            <w:rPr>
              <w:sz w:val="24"/>
              <w:szCs w:val="24"/>
            </w:rPr>
            <w:fldChar w:fldCharType="separate"/>
          </w:r>
          <w:r>
            <w:rPr>
              <w:sz w:val="24"/>
              <w:szCs w:val="24"/>
            </w:rPr>
            <w:t>53</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_Toc32627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五、电磁辐射措施与社会风险管理</w:t>
          </w:r>
          <w:r>
            <w:rPr>
              <w:sz w:val="24"/>
              <w:szCs w:val="24"/>
            </w:rPr>
            <w:tab/>
          </w:r>
          <w:r>
            <w:rPr>
              <w:sz w:val="24"/>
              <w:szCs w:val="24"/>
            </w:rPr>
            <w:fldChar w:fldCharType="begin"/>
          </w:r>
          <w:r>
            <w:rPr>
              <w:sz w:val="24"/>
              <w:szCs w:val="24"/>
            </w:rPr>
            <w:instrText xml:space="preserve"> PAGEREF _Toc32627 \h </w:instrText>
          </w:r>
          <w:r>
            <w:rPr>
              <w:sz w:val="24"/>
              <w:szCs w:val="24"/>
            </w:rPr>
            <w:fldChar w:fldCharType="separate"/>
          </w:r>
          <w:r>
            <w:rPr>
              <w:sz w:val="24"/>
              <w:szCs w:val="24"/>
            </w:rPr>
            <w:t>54</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_Toc21794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六、基站防雷措施与规范</w:t>
          </w:r>
          <w:r>
            <w:rPr>
              <w:sz w:val="24"/>
              <w:szCs w:val="24"/>
            </w:rPr>
            <w:tab/>
          </w:r>
          <w:r>
            <w:rPr>
              <w:sz w:val="24"/>
              <w:szCs w:val="24"/>
            </w:rPr>
            <w:fldChar w:fldCharType="begin"/>
          </w:r>
          <w:r>
            <w:rPr>
              <w:sz w:val="24"/>
              <w:szCs w:val="24"/>
            </w:rPr>
            <w:instrText xml:space="preserve"> PAGEREF _Toc21794 \h </w:instrText>
          </w:r>
          <w:r>
            <w:rPr>
              <w:sz w:val="24"/>
              <w:szCs w:val="24"/>
            </w:rPr>
            <w:fldChar w:fldCharType="separate"/>
          </w:r>
          <w:r>
            <w:rPr>
              <w:sz w:val="24"/>
              <w:szCs w:val="24"/>
            </w:rPr>
            <w:t>55</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_Toc4640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七、基站防风措施与规范</w:t>
          </w:r>
          <w:r>
            <w:rPr>
              <w:sz w:val="24"/>
              <w:szCs w:val="24"/>
            </w:rPr>
            <w:tab/>
          </w:r>
          <w:r>
            <w:rPr>
              <w:sz w:val="24"/>
              <w:szCs w:val="24"/>
            </w:rPr>
            <w:fldChar w:fldCharType="begin"/>
          </w:r>
          <w:r>
            <w:rPr>
              <w:sz w:val="24"/>
              <w:szCs w:val="24"/>
            </w:rPr>
            <w:instrText xml:space="preserve"> PAGEREF _Toc4640 \h </w:instrText>
          </w:r>
          <w:r>
            <w:rPr>
              <w:sz w:val="24"/>
              <w:szCs w:val="24"/>
            </w:rPr>
            <w:fldChar w:fldCharType="separate"/>
          </w:r>
          <w:r>
            <w:rPr>
              <w:sz w:val="24"/>
              <w:szCs w:val="24"/>
            </w:rPr>
            <w:t>56</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_Toc6005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第十七章 支撑保障规划</w:t>
          </w:r>
          <w:r>
            <w:rPr>
              <w:sz w:val="24"/>
              <w:szCs w:val="24"/>
            </w:rPr>
            <w:tab/>
          </w:r>
          <w:r>
            <w:rPr>
              <w:sz w:val="24"/>
              <w:szCs w:val="24"/>
            </w:rPr>
            <w:fldChar w:fldCharType="begin"/>
          </w:r>
          <w:r>
            <w:rPr>
              <w:sz w:val="24"/>
              <w:szCs w:val="24"/>
            </w:rPr>
            <w:instrText xml:space="preserve"> PAGEREF _Toc6005 \h </w:instrText>
          </w:r>
          <w:r>
            <w:rPr>
              <w:sz w:val="24"/>
              <w:szCs w:val="24"/>
            </w:rPr>
            <w:fldChar w:fldCharType="separate"/>
          </w:r>
          <w:r>
            <w:rPr>
              <w:sz w:val="24"/>
              <w:szCs w:val="24"/>
            </w:rPr>
            <w:t>56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_Toc12087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一、加强组织保障</w:t>
          </w:r>
          <w:r>
            <w:rPr>
              <w:sz w:val="24"/>
              <w:szCs w:val="24"/>
            </w:rPr>
            <w:tab/>
          </w:r>
          <w:r>
            <w:rPr>
              <w:sz w:val="24"/>
              <w:szCs w:val="24"/>
            </w:rPr>
            <w:fldChar w:fldCharType="begin"/>
          </w:r>
          <w:r>
            <w:rPr>
              <w:sz w:val="24"/>
              <w:szCs w:val="24"/>
            </w:rPr>
            <w:instrText xml:space="preserve"> PAGEREF _Toc12087 \h </w:instrText>
          </w:r>
          <w:r>
            <w:rPr>
              <w:sz w:val="24"/>
              <w:szCs w:val="24"/>
            </w:rPr>
            <w:fldChar w:fldCharType="separate"/>
          </w:r>
          <w:r>
            <w:rPr>
              <w:sz w:val="24"/>
              <w:szCs w:val="24"/>
            </w:rPr>
            <w:t>56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_Toc6812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二、加强规划统筹</w:t>
          </w:r>
          <w:r>
            <w:rPr>
              <w:sz w:val="24"/>
              <w:szCs w:val="24"/>
            </w:rPr>
            <w:tab/>
          </w:r>
          <w:r>
            <w:rPr>
              <w:sz w:val="24"/>
              <w:szCs w:val="24"/>
            </w:rPr>
            <w:fldChar w:fldCharType="begin"/>
          </w:r>
          <w:r>
            <w:rPr>
              <w:sz w:val="24"/>
              <w:szCs w:val="24"/>
            </w:rPr>
            <w:instrText xml:space="preserve"> PAGEREF _Toc6812 \h </w:instrText>
          </w:r>
          <w:r>
            <w:rPr>
              <w:sz w:val="24"/>
              <w:szCs w:val="24"/>
            </w:rPr>
            <w:fldChar w:fldCharType="separate"/>
          </w:r>
          <w:r>
            <w:rPr>
              <w:sz w:val="24"/>
              <w:szCs w:val="24"/>
            </w:rPr>
            <w:t>56</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_Toc671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三、开发公共资源</w:t>
          </w:r>
          <w:r>
            <w:rPr>
              <w:sz w:val="24"/>
              <w:szCs w:val="24"/>
            </w:rPr>
            <w:tab/>
          </w:r>
          <w:r>
            <w:rPr>
              <w:sz w:val="24"/>
              <w:szCs w:val="24"/>
            </w:rPr>
            <w:fldChar w:fldCharType="begin"/>
          </w:r>
          <w:r>
            <w:rPr>
              <w:sz w:val="24"/>
              <w:szCs w:val="24"/>
            </w:rPr>
            <w:instrText xml:space="preserve"> PAGEREF _Toc671 \h </w:instrText>
          </w:r>
          <w:r>
            <w:rPr>
              <w:sz w:val="24"/>
              <w:szCs w:val="24"/>
            </w:rPr>
            <w:fldChar w:fldCharType="separate"/>
          </w:r>
          <w:r>
            <w:rPr>
              <w:sz w:val="24"/>
              <w:szCs w:val="24"/>
            </w:rPr>
            <w:t>57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_Toc17783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四、政策扶持</w:t>
          </w:r>
          <w:r>
            <w:rPr>
              <w:sz w:val="24"/>
              <w:szCs w:val="24"/>
            </w:rPr>
            <w:tab/>
          </w:r>
          <w:r>
            <w:rPr>
              <w:sz w:val="24"/>
              <w:szCs w:val="24"/>
            </w:rPr>
            <w:fldChar w:fldCharType="begin"/>
          </w:r>
          <w:r>
            <w:rPr>
              <w:sz w:val="24"/>
              <w:szCs w:val="24"/>
            </w:rPr>
            <w:instrText xml:space="preserve"> PAGEREF _Toc17783 \h </w:instrText>
          </w:r>
          <w:r>
            <w:rPr>
              <w:sz w:val="24"/>
              <w:szCs w:val="24"/>
            </w:rPr>
            <w:fldChar w:fldCharType="separate"/>
          </w:r>
          <w:r>
            <w:rPr>
              <w:sz w:val="24"/>
              <w:szCs w:val="24"/>
            </w:rPr>
            <w:t>57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_Toc24571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五、优化行业发展环境</w:t>
          </w:r>
          <w:r>
            <w:rPr>
              <w:sz w:val="24"/>
              <w:szCs w:val="24"/>
            </w:rPr>
            <w:tab/>
          </w:r>
          <w:r>
            <w:rPr>
              <w:sz w:val="24"/>
              <w:szCs w:val="24"/>
            </w:rPr>
            <w:fldChar w:fldCharType="begin"/>
          </w:r>
          <w:r>
            <w:rPr>
              <w:sz w:val="24"/>
              <w:szCs w:val="24"/>
            </w:rPr>
            <w:instrText xml:space="preserve"> PAGEREF _Toc24571 \h </w:instrText>
          </w:r>
          <w:r>
            <w:rPr>
              <w:sz w:val="24"/>
              <w:szCs w:val="24"/>
            </w:rPr>
            <w:fldChar w:fldCharType="separate"/>
          </w:r>
          <w:r>
            <w:rPr>
              <w:sz w:val="24"/>
              <w:szCs w:val="24"/>
            </w:rPr>
            <w:t>57</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_Toc11320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六、建立健全多元化投融资机制</w:t>
          </w:r>
          <w:r>
            <w:rPr>
              <w:sz w:val="24"/>
              <w:szCs w:val="24"/>
            </w:rPr>
            <w:tab/>
          </w:r>
          <w:r>
            <w:rPr>
              <w:sz w:val="24"/>
              <w:szCs w:val="24"/>
            </w:rPr>
            <w:fldChar w:fldCharType="begin"/>
          </w:r>
          <w:r>
            <w:rPr>
              <w:sz w:val="24"/>
              <w:szCs w:val="24"/>
            </w:rPr>
            <w:instrText xml:space="preserve"> PAGEREF _Toc11320 \h </w:instrText>
          </w:r>
          <w:r>
            <w:rPr>
              <w:sz w:val="24"/>
              <w:szCs w:val="24"/>
            </w:rPr>
            <w:fldChar w:fldCharType="separate"/>
          </w:r>
          <w:r>
            <w:rPr>
              <w:sz w:val="24"/>
              <w:szCs w:val="24"/>
            </w:rPr>
            <w:t>58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_Toc25937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七、营造良好舆论氛围</w:t>
          </w:r>
          <w:r>
            <w:rPr>
              <w:sz w:val="24"/>
              <w:szCs w:val="24"/>
            </w:rPr>
            <w:tab/>
          </w:r>
          <w:r>
            <w:rPr>
              <w:sz w:val="24"/>
              <w:szCs w:val="24"/>
            </w:rPr>
            <w:fldChar w:fldCharType="begin"/>
          </w:r>
          <w:r>
            <w:rPr>
              <w:sz w:val="24"/>
              <w:szCs w:val="24"/>
            </w:rPr>
            <w:instrText xml:space="preserve"> PAGEREF _Toc25937 \h </w:instrText>
          </w:r>
          <w:r>
            <w:rPr>
              <w:sz w:val="24"/>
              <w:szCs w:val="24"/>
            </w:rPr>
            <w:fldChar w:fldCharType="separate"/>
          </w:r>
          <w:r>
            <w:rPr>
              <w:sz w:val="24"/>
              <w:szCs w:val="24"/>
            </w:rPr>
            <w:t>58</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_Toc19717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八、加强通信安全体系建设</w:t>
          </w:r>
          <w:r>
            <w:rPr>
              <w:sz w:val="24"/>
              <w:szCs w:val="24"/>
            </w:rPr>
            <w:tab/>
          </w:r>
          <w:r>
            <w:rPr>
              <w:sz w:val="24"/>
              <w:szCs w:val="24"/>
            </w:rPr>
            <w:fldChar w:fldCharType="begin"/>
          </w:r>
          <w:r>
            <w:rPr>
              <w:sz w:val="24"/>
              <w:szCs w:val="24"/>
            </w:rPr>
            <w:instrText xml:space="preserve"> PAGEREF _Toc19717 \h </w:instrText>
          </w:r>
          <w:r>
            <w:rPr>
              <w:sz w:val="24"/>
              <w:szCs w:val="24"/>
            </w:rPr>
            <w:fldChar w:fldCharType="separate"/>
          </w:r>
          <w:r>
            <w:rPr>
              <w:sz w:val="24"/>
              <w:szCs w:val="24"/>
            </w:rPr>
            <w:t>59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_Toc22429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九、进行考核评估体系建设</w:t>
          </w:r>
          <w:r>
            <w:rPr>
              <w:sz w:val="24"/>
              <w:szCs w:val="24"/>
            </w:rPr>
            <w:tab/>
          </w:r>
          <w:r>
            <w:rPr>
              <w:sz w:val="24"/>
              <w:szCs w:val="24"/>
            </w:rPr>
            <w:fldChar w:fldCharType="begin"/>
          </w:r>
          <w:r>
            <w:rPr>
              <w:sz w:val="24"/>
              <w:szCs w:val="24"/>
            </w:rPr>
            <w:instrText xml:space="preserve"> PAGEREF _Toc22429 \h </w:instrText>
          </w:r>
          <w:r>
            <w:rPr>
              <w:sz w:val="24"/>
              <w:szCs w:val="24"/>
            </w:rPr>
            <w:fldChar w:fldCharType="separate"/>
          </w:r>
          <w:r>
            <w:rPr>
              <w:sz w:val="24"/>
              <w:szCs w:val="24"/>
            </w:rPr>
            <w:t>59</w:t>
          </w:r>
          <w:r>
            <w:rPr>
              <w:sz w:val="24"/>
              <w:szCs w:val="24"/>
            </w:rPr>
            <w:fldChar w:fldCharType="end"/>
          </w:r>
          <w:r>
            <w:rPr>
              <w:rFonts w:ascii="宋体" w:hAnsi="宋体" w:cs="宋体" w:hint="eastAsia"/>
              <w:bCs/>
              <w:sz w:val="24"/>
              <w:szCs w:val="24"/>
              <w:highlight w:val="none"/>
              <w:lang w:val="zh-CN"/>
            </w:rPr>
            <w:fldChar w:fldCharType="end"/>
          </w: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_Toc17069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第十八章 附录及规划附件</w:t>
          </w:r>
          <w:r>
            <w:rPr>
              <w:sz w:val="24"/>
              <w:szCs w:val="24"/>
            </w:rPr>
            <w:tab/>
          </w:r>
          <w:r>
            <w:rPr>
              <w:sz w:val="24"/>
              <w:szCs w:val="24"/>
            </w:rPr>
            <w:fldChar w:fldCharType="begin"/>
          </w:r>
          <w:r>
            <w:rPr>
              <w:sz w:val="24"/>
              <w:szCs w:val="24"/>
            </w:rPr>
            <w:instrText xml:space="preserve"> PAGEREF _Toc17069 \h </w:instrText>
          </w:r>
          <w:r>
            <w:rPr>
              <w:sz w:val="24"/>
              <w:szCs w:val="24"/>
            </w:rPr>
            <w:fldChar w:fldCharType="separate"/>
          </w:r>
          <w:r>
            <w:rPr>
              <w:sz w:val="24"/>
              <w:szCs w:val="24"/>
            </w:rPr>
            <w:t>59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_Toc12585 </w:instrText>
          </w:r>
          <w:r>
            <w:rPr>
              <w:rFonts w:ascii="宋体" w:hAnsi="宋体" w:cs="宋体" w:hint="eastAsia"/>
              <w:bCs/>
              <w:sz w:val="24"/>
              <w:szCs w:val="24"/>
              <w:highlight w:val="none"/>
              <w:lang w:val="zh-CN"/>
            </w:rPr>
            <w:fldChar w:fldCharType="separate"/>
          </w:r>
          <w:r>
            <w:rPr>
              <w:rFonts w:ascii="宋体" w:eastAsia="宋体" w:hAnsi="宋体" w:cs="宋体" w:hint="eastAsia"/>
              <w:sz w:val="24"/>
              <w:szCs w:val="24"/>
              <w:highlight w:val="none"/>
            </w:rPr>
            <w:t>一、附录</w:t>
          </w:r>
          <w:r>
            <w:rPr>
              <w:sz w:val="24"/>
              <w:szCs w:val="24"/>
            </w:rPr>
            <w:tab/>
          </w:r>
          <w:r>
            <w:rPr>
              <w:sz w:val="24"/>
              <w:szCs w:val="24"/>
            </w:rPr>
            <w:fldChar w:fldCharType="begin"/>
          </w:r>
          <w:r>
            <w:rPr>
              <w:sz w:val="24"/>
              <w:szCs w:val="24"/>
            </w:rPr>
            <w:instrText xml:space="preserve"> PAGEREF _Toc12585 \h </w:instrText>
          </w:r>
          <w:r>
            <w:rPr>
              <w:sz w:val="24"/>
              <w:szCs w:val="24"/>
            </w:rPr>
            <w:fldChar w:fldCharType="separate"/>
          </w:r>
          <w:r>
            <w:rPr>
              <w:sz w:val="24"/>
              <w:szCs w:val="24"/>
            </w:rPr>
            <w:t>59</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_Toc23680 </w:instrText>
          </w:r>
          <w:r>
            <w:rPr>
              <w:rFonts w:ascii="宋体" w:hAnsi="宋体" w:cs="宋体" w:hint="eastAsia"/>
              <w:bCs/>
              <w:sz w:val="24"/>
              <w:szCs w:val="24"/>
              <w:highlight w:val="none"/>
              <w:lang w:val="zh-CN"/>
            </w:rPr>
            <w:fldChar w:fldCharType="separate"/>
          </w:r>
          <w:r>
            <w:rPr>
              <w:rFonts w:ascii="宋体" w:eastAsia="宋体" w:hAnsi="宋体" w:cs="宋体" w:hint="eastAsia"/>
              <w:bCs/>
              <w:sz w:val="24"/>
              <w:szCs w:val="24"/>
            </w:rPr>
            <w:t xml:space="preserve">二、 </w:t>
          </w:r>
          <w:r>
            <w:rPr>
              <w:rFonts w:ascii="宋体" w:eastAsia="宋体" w:hAnsi="宋体" w:cs="宋体" w:hint="eastAsia"/>
              <w:sz w:val="24"/>
              <w:szCs w:val="24"/>
              <w:highlight w:val="none"/>
            </w:rPr>
            <w:t>规划附件1: 通信基础设施规划建设明细表</w:t>
          </w:r>
          <w:r>
            <w:rPr>
              <w:sz w:val="24"/>
              <w:szCs w:val="24"/>
            </w:rPr>
            <w:tab/>
          </w:r>
          <w:r>
            <w:rPr>
              <w:sz w:val="24"/>
              <w:szCs w:val="24"/>
            </w:rPr>
            <w:fldChar w:fldCharType="begin"/>
          </w:r>
          <w:r>
            <w:rPr>
              <w:sz w:val="24"/>
              <w:szCs w:val="24"/>
            </w:rPr>
            <w:instrText xml:space="preserve"> PAGEREF _Toc23680 \h </w:instrText>
          </w:r>
          <w:r>
            <w:rPr>
              <w:sz w:val="24"/>
              <w:szCs w:val="24"/>
            </w:rPr>
            <w:fldChar w:fldCharType="separate"/>
          </w:r>
          <w:r>
            <w:rPr>
              <w:sz w:val="24"/>
              <w:szCs w:val="24"/>
            </w:rPr>
            <w:t>61</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r>
            <w:rPr>
              <w:rFonts w:ascii="宋体" w:hAnsi="宋体" w:cs="宋体" w:hint="eastAsia"/>
              <w:bCs/>
              <w:sz w:val="24"/>
              <w:szCs w:val="24"/>
              <w:highlight w:val="none"/>
              <w:lang w:val="zh-CN"/>
            </w:rPr>
            <w:fldChar w:fldCharType="begin"/>
          </w:r>
          <w:r>
            <w:rPr>
              <w:rFonts w:ascii="宋体" w:hAnsi="宋体" w:cs="宋体" w:hint="eastAsia"/>
              <w:bCs/>
              <w:sz w:val="24"/>
              <w:szCs w:val="24"/>
              <w:highlight w:val="none"/>
              <w:lang w:val="zh-CN"/>
            </w:rPr>
            <w:instrText xml:space="preserve"> HYPERLINK \l _Toc15663 </w:instrText>
          </w:r>
          <w:r>
            <w:rPr>
              <w:rFonts w:ascii="宋体" w:hAnsi="宋体" w:cs="宋体" w:hint="eastAsia"/>
              <w:bCs/>
              <w:sz w:val="24"/>
              <w:szCs w:val="24"/>
              <w:highlight w:val="none"/>
              <w:lang w:val="zh-CN"/>
            </w:rPr>
            <w:fldChar w:fldCharType="separate"/>
          </w:r>
          <w:r>
            <w:rPr>
              <w:rFonts w:hint="eastAsia"/>
              <w:sz w:val="24"/>
              <w:szCs w:val="24"/>
            </w:rPr>
            <w:t xml:space="preserve">三、 </w:t>
          </w:r>
          <w:r>
            <w:rPr>
              <w:rFonts w:ascii="宋体" w:eastAsia="宋体" w:hAnsi="宋体" w:cs="宋体" w:hint="eastAsia"/>
              <w:sz w:val="24"/>
              <w:szCs w:val="24"/>
              <w:highlight w:val="none"/>
            </w:rPr>
            <w:t>规划附件2: 通信基础设施现状与规划图纸</w:t>
          </w:r>
          <w:r>
            <w:rPr>
              <w:sz w:val="24"/>
              <w:szCs w:val="24"/>
            </w:rPr>
            <w:tab/>
          </w:r>
          <w:r>
            <w:rPr>
              <w:sz w:val="24"/>
              <w:szCs w:val="24"/>
            </w:rPr>
            <w:fldChar w:fldCharType="begin"/>
          </w:r>
          <w:r>
            <w:rPr>
              <w:sz w:val="24"/>
              <w:szCs w:val="24"/>
            </w:rPr>
            <w:instrText xml:space="preserve"> PAGEREF _Toc15663 \h </w:instrText>
          </w:r>
          <w:r>
            <w:rPr>
              <w:sz w:val="24"/>
              <w:szCs w:val="24"/>
            </w:rPr>
            <w:fldChar w:fldCharType="separate"/>
          </w:r>
          <w:r>
            <w:rPr>
              <w:sz w:val="24"/>
              <w:szCs w:val="24"/>
            </w:rPr>
            <w:t>61</w:t>
          </w:r>
          <w:r>
            <w:rPr>
              <w:sz w:val="24"/>
              <w:szCs w:val="24"/>
            </w:rPr>
            <w:fldChar w:fldCharType="end"/>
          </w:r>
          <w:r>
            <w:rPr>
              <w:rFonts w:ascii="宋体" w:hAnsi="宋体" w:cs="宋体" w:hint="eastAsia"/>
              <w:bCs/>
              <w:sz w:val="24"/>
              <w:szCs w:val="24"/>
              <w:highlight w:val="none"/>
              <w:lang w:val="zh-CN"/>
            </w:rPr>
            <w:fldChar w:fldCharType="end"/>
          </w:r>
        </w:p>
        <w:p>
          <w:pPr>
            <w:pStyle w:val="TOC3"/>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sz w:val="24"/>
              <w:szCs w:val="24"/>
            </w:rPr>
          </w:pPr>
        </w:p>
        <w:p>
          <w:pPr>
            <w:pStyle w:val="TOC2"/>
            <w:keepNext w:val="0"/>
            <w:keepLines w:val="0"/>
            <w:pageBreakBefore w:val="0"/>
            <w:widowControl w:val="0"/>
            <w:tabs>
              <w:tab w:val="right" w:leader="dot" w:pos="10253"/>
            </w:tabs>
            <w:kinsoku/>
            <w:wordWrap/>
            <w:overflowPunct/>
            <w:topLinePunct w:val="0"/>
            <w:autoSpaceDE/>
            <w:autoSpaceDN/>
            <w:bidi w:val="0"/>
            <w:adjustRightInd/>
            <w:snapToGrid/>
            <w:spacing w:line="360" w:lineRule="auto"/>
            <w:textAlignment w:val="auto"/>
            <w:rPr>
              <w:highlight w:val="none"/>
            </w:rPr>
            <w:sectPr>
              <w:headerReference w:type="default" r:id="rId19"/>
              <w:pgSz w:w="23811" w:h="16838" w:orient="landscape"/>
              <w:pgMar w:top="1800" w:right="1440" w:bottom="1800" w:left="1440" w:header="851" w:footer="992" w:gutter="0"/>
              <w:pgBorders w:offsetFrom="page">
                <w:top w:val="single" w:sz="8" w:space="24" w:color="auto"/>
                <w:left w:val="single" w:sz="8" w:space="24" w:color="auto"/>
                <w:bottom w:val="single" w:sz="8" w:space="24" w:color="auto"/>
                <w:right w:val="single" w:sz="8" w:space="24" w:color="auto"/>
              </w:pgBorders>
              <w:pgNumType w:start="1"/>
              <w:cols w:num="2" w:space="720" w:equalWidth="0">
                <w:col w:w="10253" w:space="630"/>
                <w:col w:w="10048"/>
              </w:cols>
              <w:docGrid w:type="lines" w:linePitch="312" w:charSpace="0"/>
            </w:sectPr>
          </w:pPr>
          <w:r>
            <w:rPr>
              <w:rFonts w:ascii="宋体" w:hAnsi="宋体" w:cs="宋体" w:hint="eastAsia"/>
              <w:bCs/>
              <w:sz w:val="24"/>
              <w:szCs w:val="24"/>
              <w:highlight w:val="none"/>
              <w:lang w:val="zh-CN"/>
            </w:rPr>
            <w:fldChar w:fldCharType="end"/>
          </w:r>
        </w:p>
      </w:sdtContent>
    </w:sdt>
    <w:p>
      <w:pPr>
        <w:rPr>
          <w:highlight w:val="none"/>
        </w:rPr>
      </w:pPr>
    </w:p>
    <w:p>
      <w:pPr>
        <w:jc w:val="center"/>
        <w:rPr>
          <w:highlight w:val="none"/>
        </w:rPr>
      </w:pPr>
    </w:p>
    <w:p>
      <w:pPr>
        <w:jc w:val="center"/>
        <w:rPr>
          <w:highlight w:val="none"/>
        </w:rPr>
        <w:sectPr>
          <w:footerReference w:type="default" r:id="rId20"/>
          <w:pgSz w:w="23811" w:h="16838" w:orient="landscape"/>
          <w:pgMar w:top="1800" w:right="1440" w:bottom="1800" w:left="1440" w:header="851" w:footer="992" w:gutter="0"/>
          <w:pgBorders w:offsetFrom="page">
            <w:top w:val="single" w:sz="8" w:space="24" w:color="auto"/>
            <w:left w:val="single" w:sz="8" w:space="24" w:color="auto"/>
            <w:bottom w:val="single" w:sz="8" w:space="24" w:color="auto"/>
            <w:right w:val="single" w:sz="8" w:space="24" w:color="auto"/>
          </w:pgBorders>
          <w:pgNumType w:start="1"/>
          <w:cols w:num="1" w:space="425"/>
          <w:docGrid w:type="lines" w:linePitch="312" w:charSpace="0"/>
        </w:sectPr>
      </w:pPr>
      <w:r>
        <w:rPr>
          <w:highlight w:val="none"/>
        </w:rPr>
        <w:drawing>
          <wp:inline distT="0" distB="0" distL="114300" distR="114300">
            <wp:extent cx="12832080" cy="7468235"/>
            <wp:effectExtent l="12700" t="12700" r="13970" b="24765"/>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xmlns:r="http://schemas.openxmlformats.org/officeDocument/2006/relationships" r:embed="rId21"/>
                    <a:srcRect r="3352"/>
                    <a:stretch>
                      <a:fillRect/>
                    </a:stretch>
                  </pic:blipFill>
                  <pic:spPr>
                    <a:xfrm>
                      <a:off x="0" y="0"/>
                      <a:ext cx="12832080" cy="7468235"/>
                    </a:xfrm>
                    <a:prstGeom prst="rect">
                      <a:avLst/>
                    </a:prstGeom>
                    <a:noFill/>
                    <a:ln w="12700">
                      <a:solidFill>
                        <a:schemeClr val="accent1">
                          <a:shade val="50000"/>
                        </a:schemeClr>
                      </a:solidFill>
                      <a:prstDash val="dashDot"/>
                    </a:ln>
                  </pic:spPr>
                </pic:pic>
              </a:graphicData>
            </a:graphic>
          </wp:inline>
        </w:drawing>
      </w:r>
    </w:p>
    <w:p>
      <w:pPr>
        <w:pStyle w:val="a4"/>
        <w:spacing w:line="500" w:lineRule="exact"/>
        <w:outlineLvl w:val="1"/>
        <w:rPr>
          <w:highlight w:val="none"/>
        </w:rPr>
      </w:pPr>
      <w:bookmarkStart w:id="2" w:name="_Toc543"/>
      <w:bookmarkStart w:id="3" w:name="_Toc31139"/>
      <w:r>
        <w:rPr>
          <w:rFonts w:hint="eastAsia"/>
          <w:highlight w:val="none"/>
        </w:rPr>
        <w:t>各相关部门对《北海市5G通信基础设施专项</w:t>
      </w:r>
      <w:bookmarkEnd w:id="2"/>
      <w:bookmarkEnd w:id="3"/>
    </w:p>
    <w:p>
      <w:pPr>
        <w:pStyle w:val="a4"/>
        <w:spacing w:line="500" w:lineRule="exact"/>
        <w:outlineLvl w:val="1"/>
        <w:rPr>
          <w:highlight w:val="none"/>
        </w:rPr>
      </w:pPr>
      <w:bookmarkStart w:id="4" w:name="_Toc21497"/>
      <w:r>
        <w:rPr>
          <w:rFonts w:hint="eastAsia"/>
          <w:highlight w:val="none"/>
        </w:rPr>
        <w:t>规划</w:t>
      </w:r>
      <w:r>
        <w:rPr>
          <w:rFonts w:ascii="Times New Roman" w:eastAsia="黑体" w:hAnsi="Times New Roman" w:cs="Arial" w:hint="eastAsia"/>
          <w:bCs/>
          <w:sz w:val="32"/>
          <w:szCs w:val="32"/>
          <w:highlight w:val="none"/>
        </w:rPr>
        <w:t>（2023-2030</w:t>
      </w:r>
      <w:r>
        <w:rPr>
          <w:rFonts w:ascii="Times New Roman" w:eastAsia="黑体" w:hAnsi="Times New Roman" w:cs="Arial" w:hint="eastAsia"/>
          <w:bCs/>
          <w:sz w:val="32"/>
          <w:szCs w:val="32"/>
          <w:highlight w:val="none"/>
          <w:lang w:val="en-US" w:eastAsia="zh-CN"/>
        </w:rPr>
        <w:t>年</w:t>
      </w:r>
      <w:r>
        <w:rPr>
          <w:rFonts w:ascii="Times New Roman" w:eastAsia="黑体" w:hAnsi="Times New Roman" w:cs="Arial" w:hint="eastAsia"/>
          <w:bCs/>
          <w:sz w:val="32"/>
          <w:szCs w:val="32"/>
          <w:highlight w:val="none"/>
        </w:rPr>
        <w:t>）</w:t>
      </w:r>
      <w:r>
        <w:rPr>
          <w:rFonts w:hint="eastAsia"/>
          <w:highlight w:val="none"/>
        </w:rPr>
        <w:t>》</w:t>
      </w:r>
      <w:bookmarkStart w:id="5" w:name="_Toc1638"/>
      <w:bookmarkStart w:id="6" w:name="_Toc30924"/>
      <w:r>
        <w:rPr>
          <w:rFonts w:hint="eastAsia"/>
          <w:highlight w:val="none"/>
        </w:rPr>
        <w:t>的意见及意见执行情况答复</w:t>
      </w:r>
      <w:bookmarkEnd w:id="4"/>
      <w:bookmarkEnd w:id="5"/>
      <w:bookmarkEnd w:id="6"/>
    </w:p>
    <w:p>
      <w:pPr>
        <w:pStyle w:val="BodyText"/>
        <w:rPr>
          <w:highlight w:val="none"/>
        </w:rPr>
      </w:pPr>
    </w:p>
    <w:p>
      <w:pPr>
        <w:pStyle w:val="HTMLPreformatted"/>
        <w:widowControl/>
        <w:spacing w:line="360" w:lineRule="auto"/>
        <w:ind w:firstLine="420" w:firstLineChars="200"/>
        <w:rPr>
          <w:rFonts w:cs="宋体" w:hint="default"/>
          <w:highlight w:val="none"/>
        </w:rPr>
      </w:pPr>
      <w:r>
        <w:rPr>
          <w:rFonts w:cs="宋体"/>
          <w:kern w:val="2"/>
          <w:highlight w:val="none"/>
        </w:rPr>
        <w:t>2023年12月，北海市通信发展管理办公室向各相关部门发《关于征求&lt;北海市5G通信基础设施专项规划&gt;意见的函》</w:t>
      </w:r>
      <w:r>
        <w:rPr>
          <w:rFonts w:cs="宋体" w:hint="default"/>
          <w:kern w:val="2"/>
          <w:highlight w:val="none"/>
        </w:rPr>
        <w:t>（北通管办函〔2023〕104号）</w:t>
      </w:r>
      <w:r>
        <w:rPr>
          <w:rFonts w:cs="宋体"/>
          <w:kern w:val="2"/>
          <w:highlight w:val="none"/>
        </w:rPr>
        <w:t>进行征求意见。</w:t>
      </w:r>
      <w:r>
        <w:rPr>
          <w:rFonts w:cs="宋体"/>
          <w:highlight w:val="none"/>
        </w:rPr>
        <w:t>根据各部门的复函，以及市自然资源局于2024年1月10日召开的局务会上对本次规划提出的意见，编制组对本次5G专项进行了相应的调整与修改，对各部门意见的执行情况答复如下表所示。</w:t>
      </w:r>
    </w:p>
    <w:p>
      <w:pPr>
        <w:spacing w:after="156" w:afterLines="50" w:line="500" w:lineRule="exact"/>
        <w:ind w:right="482"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一、各部门意见执行情况答复</w:t>
      </w:r>
    </w:p>
    <w:tbl>
      <w:tblPr>
        <w:tblStyle w:val="TableNormal"/>
        <w:tblW w:w="1032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669"/>
        <w:gridCol w:w="2031"/>
        <w:gridCol w:w="4006"/>
        <w:gridCol w:w="3615"/>
      </w:tblGrid>
      <w:tr>
        <w:tblPrEx>
          <w:tblW w:w="1032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Ex>
        <w:trPr>
          <w:cantSplit/>
          <w:trHeight w:val="266"/>
          <w:tblHeader/>
        </w:trPr>
        <w:tc>
          <w:tcPr>
            <w:tcW w:w="669" w:type="dxa"/>
            <w:shd w:val="clear" w:color="auto" w:fill="E6E6E6"/>
            <w:vAlign w:val="center"/>
          </w:tcPr>
          <w:p>
            <w:pPr>
              <w:spacing w:before="156" w:beforeLines="50" w:after="156" w:afterLines="50" w:line="300" w:lineRule="auto"/>
              <w:jc w:val="center"/>
              <w:outlineLvl w:val="2"/>
              <w:rPr>
                <w:rFonts w:ascii="宋体" w:eastAsia="宋体" w:hAnsi="宋体" w:cs="宋体"/>
                <w:b/>
                <w:bCs/>
                <w:szCs w:val="21"/>
                <w:highlight w:val="none"/>
              </w:rPr>
            </w:pPr>
            <w:bookmarkStart w:id="7" w:name="_Toc15205"/>
            <w:bookmarkStart w:id="8" w:name="_Toc17559"/>
            <w:bookmarkStart w:id="9" w:name="_Toc15604"/>
            <w:bookmarkStart w:id="10" w:name="_Toc18765"/>
            <w:r>
              <w:rPr>
                <w:rFonts w:ascii="宋体" w:eastAsia="宋体" w:hAnsi="宋体" w:cs="宋体" w:hint="eastAsia"/>
                <w:b/>
                <w:bCs/>
                <w:szCs w:val="21"/>
                <w:highlight w:val="none"/>
              </w:rPr>
              <w:t>序号</w:t>
            </w:r>
            <w:bookmarkEnd w:id="7"/>
            <w:bookmarkEnd w:id="8"/>
            <w:bookmarkEnd w:id="9"/>
            <w:bookmarkEnd w:id="10"/>
          </w:p>
        </w:tc>
        <w:tc>
          <w:tcPr>
            <w:tcW w:w="2031"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意见来源</w:t>
            </w:r>
          </w:p>
        </w:tc>
        <w:tc>
          <w:tcPr>
            <w:tcW w:w="4006"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意见内容</w:t>
            </w:r>
          </w:p>
        </w:tc>
        <w:tc>
          <w:tcPr>
            <w:tcW w:w="3615"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意见执行情况</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1</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北海市公安局</w:t>
            </w:r>
          </w:p>
        </w:tc>
        <w:tc>
          <w:tcPr>
            <w:tcW w:w="4006" w:type="dxa"/>
            <w:vAlign w:val="center"/>
          </w:tcPr>
          <w:p>
            <w:pPr>
              <w:jc w:val="center"/>
              <w:rPr>
                <w:rFonts w:ascii="宋体" w:eastAsia="宋体" w:hAnsi="宋体" w:cs="宋体"/>
                <w:bCs/>
                <w:szCs w:val="21"/>
                <w:highlight w:val="none"/>
              </w:rPr>
            </w:pPr>
            <w:r>
              <w:rPr>
                <w:rFonts w:ascii="宋体" w:eastAsia="宋体" w:hAnsi="宋体" w:cs="宋体" w:hint="eastAsia"/>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515"/>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2</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北海市广播电视局</w:t>
            </w:r>
          </w:p>
        </w:tc>
        <w:tc>
          <w:tcPr>
            <w:tcW w:w="4006" w:type="dxa"/>
            <w:vAlign w:val="center"/>
          </w:tcPr>
          <w:p>
            <w:pPr>
              <w:jc w:val="center"/>
              <w:rPr>
                <w:rFonts w:ascii="宋体" w:eastAsia="宋体" w:hAnsi="宋体" w:cs="宋体"/>
                <w:bCs/>
                <w:szCs w:val="21"/>
                <w:highlight w:val="none"/>
              </w:rPr>
            </w:pPr>
            <w:r>
              <w:rPr>
                <w:rFonts w:ascii="宋体" w:eastAsia="宋体" w:hAnsi="宋体" w:cs="宋体" w:hint="eastAsia"/>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3</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北海市教育局</w:t>
            </w:r>
          </w:p>
        </w:tc>
        <w:tc>
          <w:tcPr>
            <w:tcW w:w="4006" w:type="dxa"/>
            <w:vAlign w:val="center"/>
          </w:tcPr>
          <w:p>
            <w:pPr>
              <w:jc w:val="center"/>
              <w:rPr>
                <w:rFonts w:ascii="宋体" w:eastAsia="宋体" w:hAnsi="宋体" w:cs="宋体"/>
                <w:bCs/>
                <w:szCs w:val="21"/>
                <w:highlight w:val="none"/>
              </w:rPr>
            </w:pPr>
            <w:r>
              <w:rPr>
                <w:rFonts w:ascii="宋体" w:eastAsia="宋体" w:hAnsi="宋体" w:cs="宋体" w:hint="eastAsia"/>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4</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北海市乡村振兴和水库移民工作局</w:t>
            </w:r>
          </w:p>
        </w:tc>
        <w:tc>
          <w:tcPr>
            <w:tcW w:w="4006" w:type="dxa"/>
            <w:vAlign w:val="center"/>
          </w:tcPr>
          <w:p>
            <w:pPr>
              <w:jc w:val="center"/>
              <w:rPr>
                <w:rFonts w:ascii="宋体" w:eastAsia="宋体" w:hAnsi="宋体" w:cs="宋体"/>
                <w:bCs/>
                <w:szCs w:val="21"/>
                <w:highlight w:val="none"/>
              </w:rPr>
            </w:pPr>
            <w:r>
              <w:rPr>
                <w:rFonts w:ascii="宋体" w:eastAsia="宋体" w:hAnsi="宋体" w:cs="宋体" w:hint="eastAsia"/>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5</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北海市民政局</w:t>
            </w:r>
          </w:p>
        </w:tc>
        <w:tc>
          <w:tcPr>
            <w:tcW w:w="4006" w:type="dxa"/>
            <w:vAlign w:val="center"/>
          </w:tcPr>
          <w:p>
            <w:pPr>
              <w:jc w:val="center"/>
              <w:rPr>
                <w:rFonts w:ascii="宋体" w:eastAsia="宋体" w:hAnsi="宋体" w:cs="宋体"/>
                <w:bCs/>
                <w:szCs w:val="21"/>
                <w:highlight w:val="none"/>
              </w:rPr>
            </w:pPr>
            <w:r>
              <w:rPr>
                <w:rFonts w:ascii="宋体" w:eastAsia="宋体" w:hAnsi="宋体" w:cs="宋体" w:hint="eastAsia"/>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6</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北海市海城区人民政府</w:t>
            </w:r>
          </w:p>
        </w:tc>
        <w:tc>
          <w:tcPr>
            <w:tcW w:w="4006" w:type="dxa"/>
            <w:vAlign w:val="center"/>
          </w:tcPr>
          <w:p>
            <w:pPr>
              <w:jc w:val="center"/>
              <w:rPr>
                <w:rFonts w:ascii="宋体" w:eastAsia="宋体" w:hAnsi="宋体" w:cs="宋体"/>
                <w:bCs/>
                <w:szCs w:val="21"/>
                <w:highlight w:val="none"/>
              </w:rPr>
            </w:pPr>
            <w:r>
              <w:rPr>
                <w:rFonts w:ascii="宋体" w:eastAsia="宋体" w:hAnsi="宋体" w:cs="宋体" w:hint="eastAsia"/>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7</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北海市交通运输局</w:t>
            </w:r>
          </w:p>
        </w:tc>
        <w:tc>
          <w:tcPr>
            <w:tcW w:w="4006" w:type="dxa"/>
            <w:vAlign w:val="center"/>
          </w:tcPr>
          <w:p>
            <w:pPr>
              <w:jc w:val="center"/>
              <w:rPr>
                <w:rFonts w:ascii="宋体" w:eastAsia="宋体" w:hAnsi="宋体" w:cs="宋体"/>
                <w:bCs/>
                <w:szCs w:val="21"/>
                <w:highlight w:val="none"/>
              </w:rPr>
            </w:pPr>
            <w:r>
              <w:rPr>
                <w:rFonts w:ascii="宋体" w:eastAsia="宋体" w:hAnsi="宋体" w:cs="宋体"/>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8</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北海市涠洲岛旅游区管理委员会</w:t>
            </w:r>
          </w:p>
        </w:tc>
        <w:tc>
          <w:tcPr>
            <w:tcW w:w="4006" w:type="dxa"/>
            <w:vAlign w:val="center"/>
          </w:tcPr>
          <w:p>
            <w:pPr>
              <w:jc w:val="center"/>
              <w:rPr>
                <w:rFonts w:ascii="宋体" w:eastAsia="宋体" w:hAnsi="宋体" w:cs="宋体"/>
                <w:bCs/>
                <w:szCs w:val="21"/>
                <w:highlight w:val="none"/>
              </w:rPr>
            </w:pPr>
            <w:r>
              <w:rPr>
                <w:rFonts w:ascii="宋体" w:eastAsia="宋体" w:hAnsi="宋体" w:cs="宋体"/>
                <w:bCs/>
                <w:szCs w:val="21"/>
                <w:highlight w:val="none"/>
              </w:rPr>
              <w:t>无修改意见</w:t>
            </w:r>
          </w:p>
        </w:tc>
        <w:tc>
          <w:tcPr>
            <w:tcW w:w="3615" w:type="dxa"/>
            <w:vAlign w:val="center"/>
          </w:tcPr>
          <w:p>
            <w:pPr>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b/>
                <w:bCs/>
                <w:szCs w:val="21"/>
                <w:highlight w:val="none"/>
              </w:rPr>
            </w:pPr>
            <w:r>
              <w:rPr>
                <w:rFonts w:ascii="宋体" w:eastAsia="宋体" w:hAnsi="宋体" w:cs="宋体" w:hint="eastAsia"/>
                <w:b/>
                <w:bCs/>
                <w:szCs w:val="21"/>
                <w:highlight w:val="none"/>
              </w:rPr>
              <w:t>9</w:t>
            </w:r>
          </w:p>
        </w:tc>
        <w:tc>
          <w:tcPr>
            <w:tcW w:w="2031" w:type="dxa"/>
            <w:vAlign w:val="center"/>
          </w:tcPr>
          <w:p>
            <w:pPr>
              <w:rPr>
                <w:rFonts w:ascii="宋体" w:eastAsia="宋体" w:hAnsi="宋体" w:cs="宋体"/>
                <w:bCs/>
                <w:szCs w:val="21"/>
                <w:highlight w:val="none"/>
              </w:rPr>
            </w:pPr>
            <w:r>
              <w:rPr>
                <w:rFonts w:ascii="宋体" w:eastAsia="宋体" w:hAnsi="宋体" w:cs="宋体" w:hint="eastAsia"/>
                <w:bCs/>
                <w:szCs w:val="21"/>
                <w:highlight w:val="none"/>
              </w:rPr>
              <w:t>北海市住房和城乡建设局</w:t>
            </w:r>
          </w:p>
        </w:tc>
        <w:tc>
          <w:tcPr>
            <w:tcW w:w="4006" w:type="dxa"/>
            <w:vAlign w:val="center"/>
          </w:tcPr>
          <w:p>
            <w:pPr>
              <w:jc w:val="center"/>
              <w:rPr>
                <w:rFonts w:ascii="宋体" w:eastAsia="宋体" w:hAnsi="宋体" w:cs="宋体"/>
                <w:bCs/>
                <w:szCs w:val="21"/>
                <w:highlight w:val="none"/>
              </w:rPr>
            </w:pPr>
            <w:r>
              <w:rPr>
                <w:rFonts w:ascii="宋体" w:eastAsia="宋体" w:hAnsi="宋体" w:cs="宋体"/>
                <w:bCs/>
                <w:szCs w:val="21"/>
                <w:highlight w:val="none"/>
              </w:rPr>
              <w:t>无修改意见</w:t>
            </w:r>
          </w:p>
        </w:tc>
        <w:tc>
          <w:tcPr>
            <w:tcW w:w="3615" w:type="dxa"/>
            <w:vAlign w:val="center"/>
          </w:tcPr>
          <w:p>
            <w:pPr>
              <w:tabs>
                <w:tab w:val="left" w:pos="1280"/>
              </w:tabs>
              <w:jc w:val="center"/>
              <w:rPr>
                <w:rFonts w:ascii="宋体" w:eastAsia="宋体" w:hAnsi="宋体" w:cs="宋体"/>
                <w:szCs w:val="21"/>
                <w:highlight w:val="none"/>
              </w:rPr>
            </w:pPr>
            <w:r>
              <w:rPr>
                <w:rFonts w:ascii="宋体" w:eastAsia="宋体" w:hAnsi="宋体" w:cs="宋体" w:hint="eastAsia"/>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1"/>
                <w:highlight w:val="none"/>
              </w:rPr>
            </w:pPr>
            <w:r>
              <w:rPr>
                <w:rFonts w:hint="eastAsia"/>
                <w:b/>
                <w:bCs/>
                <w:kern w:val="2"/>
                <w:sz w:val="21"/>
                <w:szCs w:val="21"/>
                <w:highlight w:val="none"/>
              </w:rPr>
              <w:t>10</w:t>
            </w:r>
          </w:p>
        </w:tc>
        <w:tc>
          <w:tcPr>
            <w:tcW w:w="2031" w:type="dxa"/>
            <w:vAlign w:val="center"/>
          </w:tcPr>
          <w:p>
            <w:pPr>
              <w:pStyle w:val="NormalWeb"/>
              <w:rPr>
                <w:bCs/>
                <w:kern w:val="2"/>
                <w:sz w:val="21"/>
                <w:szCs w:val="21"/>
                <w:highlight w:val="none"/>
              </w:rPr>
            </w:pPr>
            <w:r>
              <w:rPr>
                <w:rFonts w:hint="eastAsia"/>
                <w:bCs/>
                <w:kern w:val="2"/>
                <w:sz w:val="21"/>
                <w:szCs w:val="21"/>
                <w:highlight w:val="none"/>
              </w:rPr>
              <w:t>北海市发展和改革委员会</w:t>
            </w:r>
          </w:p>
        </w:tc>
        <w:tc>
          <w:tcPr>
            <w:tcW w:w="4006" w:type="dxa"/>
            <w:vAlign w:val="center"/>
          </w:tcPr>
          <w:p>
            <w:pPr>
              <w:pStyle w:val="NormalWeb"/>
              <w:jc w:val="center"/>
              <w:rPr>
                <w:bCs/>
                <w:kern w:val="2"/>
                <w:sz w:val="21"/>
                <w:szCs w:val="21"/>
                <w:highlight w:val="none"/>
              </w:rPr>
            </w:pPr>
            <w:r>
              <w:rPr>
                <w:rFonts w:hint="eastAsia"/>
                <w:bCs/>
                <w:kern w:val="2"/>
                <w:sz w:val="21"/>
                <w:szCs w:val="21"/>
                <w:highlight w:val="none"/>
              </w:rPr>
              <w:t>无修改意见</w:t>
            </w:r>
          </w:p>
        </w:tc>
        <w:tc>
          <w:tcPr>
            <w:tcW w:w="3615" w:type="dxa"/>
            <w:vAlign w:val="center"/>
          </w:tcPr>
          <w:p>
            <w:pPr>
              <w:pStyle w:val="NormalWeb"/>
              <w:jc w:val="center"/>
              <w:rPr>
                <w:bCs/>
                <w:kern w:val="2"/>
                <w:sz w:val="21"/>
                <w:szCs w:val="21"/>
                <w:highlight w:val="none"/>
              </w:rPr>
            </w:pPr>
            <w:r>
              <w:rPr>
                <w:rFonts w:hint="eastAsia"/>
                <w:kern w:val="2"/>
                <w:sz w:val="21"/>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
                <w:bCs/>
                <w:kern w:val="2"/>
                <w:sz w:val="21"/>
                <w:szCs w:val="21"/>
                <w:highlight w:val="none"/>
              </w:rPr>
            </w:pPr>
            <w:r>
              <w:rPr>
                <w:rFonts w:hint="eastAsia"/>
                <w:b/>
                <w:bCs/>
                <w:kern w:val="2"/>
                <w:sz w:val="21"/>
                <w:szCs w:val="21"/>
                <w:highlight w:val="none"/>
              </w:rPr>
              <w:t>11</w:t>
            </w:r>
          </w:p>
        </w:tc>
        <w:tc>
          <w:tcPr>
            <w:tcW w:w="2031" w:type="dxa"/>
            <w:vAlign w:val="center"/>
          </w:tcPr>
          <w:p>
            <w:pPr>
              <w:pStyle w:val="NormalWeb"/>
              <w:rPr>
                <w:bCs/>
                <w:kern w:val="2"/>
                <w:sz w:val="21"/>
                <w:szCs w:val="21"/>
                <w:highlight w:val="none"/>
              </w:rPr>
            </w:pPr>
            <w:r>
              <w:rPr>
                <w:rFonts w:hint="eastAsia"/>
                <w:bCs/>
                <w:kern w:val="2"/>
                <w:sz w:val="21"/>
                <w:szCs w:val="21"/>
                <w:highlight w:val="none"/>
              </w:rPr>
              <w:t>北海</w:t>
            </w:r>
            <w:r>
              <w:rPr>
                <w:bCs/>
                <w:kern w:val="2"/>
                <w:sz w:val="21"/>
                <w:szCs w:val="21"/>
                <w:highlight w:val="none"/>
              </w:rPr>
              <w:t>市银海区人民政府</w:t>
            </w:r>
          </w:p>
        </w:tc>
        <w:tc>
          <w:tcPr>
            <w:tcW w:w="4006" w:type="dxa"/>
            <w:vAlign w:val="center"/>
          </w:tcPr>
          <w:p>
            <w:pPr>
              <w:pStyle w:val="NormalWeb"/>
              <w:jc w:val="center"/>
              <w:rPr>
                <w:bCs/>
                <w:kern w:val="2"/>
                <w:sz w:val="21"/>
                <w:szCs w:val="21"/>
                <w:highlight w:val="none"/>
              </w:rPr>
            </w:pPr>
            <w:r>
              <w:rPr>
                <w:rFonts w:hint="eastAsia"/>
                <w:bCs/>
                <w:kern w:val="2"/>
                <w:sz w:val="21"/>
                <w:szCs w:val="21"/>
                <w:highlight w:val="none"/>
              </w:rPr>
              <w:t>无修改意见</w:t>
            </w:r>
          </w:p>
        </w:tc>
        <w:tc>
          <w:tcPr>
            <w:tcW w:w="3615" w:type="dxa"/>
            <w:vAlign w:val="center"/>
          </w:tcPr>
          <w:p>
            <w:pPr>
              <w:pStyle w:val="NormalWeb"/>
              <w:jc w:val="center"/>
              <w:rPr>
                <w:kern w:val="2"/>
                <w:sz w:val="21"/>
                <w:szCs w:val="21"/>
                <w:highlight w:val="none"/>
              </w:rPr>
            </w:pPr>
            <w:r>
              <w:rPr>
                <w:rFonts w:hint="eastAsia"/>
                <w:kern w:val="2"/>
                <w:sz w:val="21"/>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
                <w:bCs/>
                <w:kern w:val="2"/>
                <w:sz w:val="21"/>
                <w:szCs w:val="21"/>
                <w:highlight w:val="none"/>
              </w:rPr>
            </w:pPr>
            <w:r>
              <w:rPr>
                <w:rFonts w:hint="eastAsia"/>
                <w:b/>
                <w:bCs/>
                <w:kern w:val="2"/>
                <w:sz w:val="21"/>
                <w:szCs w:val="21"/>
                <w:highlight w:val="none"/>
              </w:rPr>
              <w:t>12</w:t>
            </w:r>
          </w:p>
        </w:tc>
        <w:tc>
          <w:tcPr>
            <w:tcW w:w="2031" w:type="dxa"/>
            <w:vAlign w:val="center"/>
          </w:tcPr>
          <w:p>
            <w:pPr>
              <w:pStyle w:val="NormalWeb"/>
              <w:rPr>
                <w:bCs/>
                <w:kern w:val="2"/>
                <w:sz w:val="21"/>
                <w:szCs w:val="21"/>
                <w:highlight w:val="none"/>
              </w:rPr>
            </w:pPr>
            <w:r>
              <w:rPr>
                <w:rFonts w:hint="eastAsia"/>
                <w:bCs/>
                <w:kern w:val="2"/>
                <w:sz w:val="21"/>
                <w:szCs w:val="21"/>
                <w:highlight w:val="none"/>
              </w:rPr>
              <w:t>北海市</w:t>
            </w:r>
            <w:r>
              <w:rPr>
                <w:bCs/>
                <w:kern w:val="2"/>
                <w:sz w:val="21"/>
                <w:szCs w:val="21"/>
                <w:highlight w:val="none"/>
              </w:rPr>
              <w:t>卫生健康委</w:t>
            </w:r>
          </w:p>
        </w:tc>
        <w:tc>
          <w:tcPr>
            <w:tcW w:w="4006" w:type="dxa"/>
            <w:vAlign w:val="center"/>
          </w:tcPr>
          <w:p>
            <w:pPr>
              <w:pStyle w:val="NormalWeb"/>
              <w:jc w:val="center"/>
              <w:rPr>
                <w:bCs/>
                <w:kern w:val="2"/>
                <w:sz w:val="21"/>
                <w:szCs w:val="21"/>
                <w:highlight w:val="none"/>
              </w:rPr>
            </w:pPr>
            <w:r>
              <w:rPr>
                <w:rFonts w:hint="eastAsia"/>
                <w:bCs/>
                <w:kern w:val="2"/>
                <w:sz w:val="21"/>
                <w:szCs w:val="21"/>
                <w:highlight w:val="none"/>
              </w:rPr>
              <w:t>无修改意见</w:t>
            </w:r>
          </w:p>
        </w:tc>
        <w:tc>
          <w:tcPr>
            <w:tcW w:w="3615" w:type="dxa"/>
            <w:vAlign w:val="center"/>
          </w:tcPr>
          <w:p>
            <w:pPr>
              <w:pStyle w:val="NormalWeb"/>
              <w:jc w:val="center"/>
              <w:rPr>
                <w:kern w:val="2"/>
                <w:sz w:val="21"/>
                <w:szCs w:val="21"/>
                <w:highlight w:val="none"/>
              </w:rPr>
            </w:pPr>
            <w:r>
              <w:rPr>
                <w:rFonts w:hint="eastAsia"/>
                <w:kern w:val="2"/>
                <w:sz w:val="21"/>
                <w:szCs w:val="21"/>
                <w:highlight w:val="none"/>
              </w:rPr>
              <w:t>——</w:t>
            </w:r>
          </w:p>
        </w:tc>
      </w:tr>
      <w:tr>
        <w:tblPrEx>
          <w:tblW w:w="10321" w:type="dxa"/>
          <w:tblInd w:w="0" w:type="dxa"/>
          <w:tblLayout w:type="fixed"/>
          <w:tblCellMar>
            <w:top w:w="0" w:type="dxa"/>
            <w:left w:w="108" w:type="dxa"/>
            <w:bottom w:w="0" w:type="dxa"/>
            <w:right w:w="108" w:type="dxa"/>
          </w:tblCellMar>
        </w:tblPrEx>
        <w:trPr>
          <w:cantSplit/>
          <w:trHeight w:val="2361"/>
        </w:trPr>
        <w:tc>
          <w:tcPr>
            <w:tcW w:w="669"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1</w:t>
            </w:r>
            <w:r>
              <w:rPr>
                <w:rFonts w:ascii="宋体" w:eastAsia="宋体" w:hAnsi="宋体" w:cs="宋体"/>
                <w:b/>
                <w:bCs/>
                <w:szCs w:val="21"/>
                <w:highlight w:val="none"/>
              </w:rPr>
              <w:t>3</w:t>
            </w:r>
          </w:p>
        </w:tc>
        <w:tc>
          <w:tcPr>
            <w:tcW w:w="2031" w:type="dxa"/>
            <w:vAlign w:val="center"/>
          </w:tcPr>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北海市自然资源局</w:t>
            </w:r>
          </w:p>
        </w:tc>
        <w:tc>
          <w:tcPr>
            <w:tcW w:w="4006" w:type="dxa"/>
            <w:vAlign w:val="center"/>
          </w:tcPr>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一、部分设施距离特殊用地、机场较近，是否有影响，建议征求相应部门意见。</w:t>
            </w:r>
          </w:p>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二、政策指引中“将本规划中确定的基站建设相关要求纳入到各类项目建设的规划设计条件、批前、批后的规划公示内容中，并与地块建设同步设计、同步施工、同步验收并投入使用”无法操作，部分设施位于建筑屋顶，或采用租赁方式且规划中并未定点要具体点位，规划设计条件无法确定建设要求。</w:t>
            </w:r>
          </w:p>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三、5G基站设置在城市道路两侧或重要景观节点时，应进行美化。</w:t>
            </w:r>
          </w:p>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四、5G机房的设置根据202</w:t>
            </w:r>
            <w:r>
              <w:rPr>
                <w:rFonts w:ascii="宋体" w:eastAsia="宋体" w:hAnsi="宋体" w:cs="宋体" w:hint="eastAsia"/>
                <w:bCs/>
                <w:szCs w:val="21"/>
                <w:highlight w:val="none"/>
                <w:lang w:val="en-US" w:eastAsia="zh-CN"/>
              </w:rPr>
              <w:t>4</w:t>
            </w:r>
            <w:r>
              <w:rPr>
                <w:rFonts w:ascii="宋体" w:eastAsia="宋体" w:hAnsi="宋体" w:cs="宋体" w:hint="eastAsia"/>
                <w:bCs/>
                <w:szCs w:val="21"/>
                <w:highlight w:val="none"/>
              </w:rPr>
              <w:t>年第18次规委会预审会会议意见，不得占用公共空间设置，可考虑在公共厕所楼顶设置。建议优化机房设置方式。</w:t>
            </w:r>
          </w:p>
          <w:p>
            <w:pPr>
              <w:numPr>
                <w:ilvl w:val="0"/>
                <w:numId w:val="2"/>
              </w:numPr>
              <w:spacing w:line="300" w:lineRule="auto"/>
              <w:rPr>
                <w:rFonts w:ascii="宋体" w:eastAsia="宋体" w:hAnsi="宋体" w:cs="宋体"/>
                <w:bCs/>
                <w:szCs w:val="21"/>
                <w:highlight w:val="none"/>
              </w:rPr>
            </w:pPr>
            <w:r>
              <w:rPr>
                <w:rFonts w:ascii="宋体" w:eastAsia="宋体" w:hAnsi="宋体" w:cs="宋体" w:hint="eastAsia"/>
                <w:bCs/>
                <w:szCs w:val="21"/>
                <w:highlight w:val="none"/>
              </w:rPr>
              <w:t>建议加强对人员密集区、公共场所和重点场所的5G设施建设，充分利用存量资源，减少重复建设。</w:t>
            </w:r>
          </w:p>
          <w:p>
            <w:pPr>
              <w:spacing w:line="300" w:lineRule="auto"/>
              <w:rPr>
                <w:rFonts w:ascii="宋体" w:eastAsia="宋体" w:hAnsi="宋体" w:cs="宋体"/>
                <w:bCs/>
                <w:szCs w:val="21"/>
                <w:highlight w:val="none"/>
              </w:rPr>
            </w:pPr>
          </w:p>
        </w:tc>
        <w:tc>
          <w:tcPr>
            <w:tcW w:w="3615" w:type="dxa"/>
            <w:vAlign w:val="center"/>
          </w:tcPr>
          <w:p>
            <w:pPr>
              <w:numPr>
                <w:ilvl w:val="0"/>
                <w:numId w:val="3"/>
              </w:numPr>
              <w:spacing w:line="300" w:lineRule="auto"/>
              <w:rPr>
                <w:rFonts w:ascii="宋体" w:eastAsia="宋体" w:hAnsi="宋体" w:cs="宋体"/>
                <w:szCs w:val="21"/>
                <w:highlight w:val="none"/>
              </w:rPr>
            </w:pPr>
            <w:r>
              <w:rPr>
                <w:rFonts w:ascii="宋体" w:eastAsia="宋体" w:hAnsi="宋体" w:cs="宋体" w:hint="eastAsia"/>
                <w:szCs w:val="21"/>
                <w:highlight w:val="none"/>
              </w:rPr>
              <w:t>采纳，部分设施规划阶段距离特殊用地、机场较近并无影响，待实际建设时承建方将根据相关安全管理办法征求相关部门批复后再进行建设。二、采纳，已根据意见修改。详见文本第53页第十七章 支撑保障规划第二节“加强规划统筹”内容，已删除意见提到的无法操作相关内容。</w:t>
            </w:r>
          </w:p>
          <w:p>
            <w:pPr>
              <w:spacing w:line="300" w:lineRule="auto"/>
              <w:rPr>
                <w:rFonts w:ascii="宋体" w:eastAsia="宋体" w:hAnsi="宋体" w:cs="宋体"/>
                <w:szCs w:val="21"/>
                <w:highlight w:val="none"/>
              </w:rPr>
            </w:pPr>
            <w:r>
              <w:rPr>
                <w:rFonts w:ascii="宋体" w:eastAsia="宋体" w:hAnsi="宋体" w:cs="宋体" w:hint="eastAsia"/>
                <w:szCs w:val="21"/>
                <w:highlight w:val="none"/>
              </w:rPr>
              <w:t>三、采纳，已根据意见修改。详见文本第32页第六章第七“5G基站规划方案”相关内容。</w:t>
            </w:r>
          </w:p>
          <w:p>
            <w:pPr>
              <w:spacing w:line="300" w:lineRule="auto"/>
              <w:rPr>
                <w:rFonts w:ascii="宋体" w:eastAsia="宋体" w:hAnsi="宋体" w:cs="宋体"/>
                <w:szCs w:val="21"/>
                <w:highlight w:val="none"/>
              </w:rPr>
            </w:pPr>
            <w:r>
              <w:rPr>
                <w:rFonts w:ascii="宋体" w:eastAsia="宋体" w:hAnsi="宋体" w:cs="宋体" w:hint="eastAsia"/>
                <w:szCs w:val="21"/>
                <w:highlight w:val="none"/>
              </w:rPr>
              <w:t>四、经</w:t>
            </w:r>
            <w:r>
              <w:rPr>
                <w:rFonts w:ascii="宋体" w:eastAsia="宋体" w:hAnsi="宋体" w:cs="宋体"/>
                <w:szCs w:val="21"/>
                <w:highlight w:val="none"/>
              </w:rPr>
              <w:t>北海市政管理局</w:t>
            </w:r>
            <w:r>
              <w:rPr>
                <w:rFonts w:ascii="宋体" w:eastAsia="宋体" w:hAnsi="宋体" w:cs="宋体" w:hint="eastAsia"/>
                <w:szCs w:val="21"/>
                <w:highlight w:val="none"/>
              </w:rPr>
              <w:t>研究</w:t>
            </w:r>
            <w:r>
              <w:rPr>
                <w:rFonts w:ascii="宋体" w:eastAsia="宋体" w:hAnsi="宋体" w:cs="宋体"/>
                <w:szCs w:val="21"/>
                <w:highlight w:val="none"/>
              </w:rPr>
              <w:t>，</w:t>
            </w:r>
            <w:r>
              <w:rPr>
                <w:rFonts w:ascii="宋体" w:eastAsia="宋体" w:hAnsi="宋体" w:cs="宋体" w:hint="eastAsia"/>
                <w:szCs w:val="21"/>
                <w:highlight w:val="none"/>
              </w:rPr>
              <w:t>北海</w:t>
            </w:r>
            <w:r>
              <w:rPr>
                <w:rFonts w:ascii="宋体" w:eastAsia="宋体" w:hAnsi="宋体" w:cs="宋体"/>
                <w:szCs w:val="21"/>
                <w:highlight w:val="none"/>
              </w:rPr>
              <w:t>市政管理局不建议在市政公共厕所上建设</w:t>
            </w:r>
            <w:r>
              <w:rPr>
                <w:rFonts w:ascii="宋体" w:eastAsia="宋体" w:hAnsi="宋体" w:cs="宋体" w:hint="eastAsia"/>
                <w:szCs w:val="21"/>
                <w:highlight w:val="none"/>
              </w:rPr>
              <w:t>5</w:t>
            </w:r>
            <w:r>
              <w:rPr>
                <w:rFonts w:ascii="宋体" w:eastAsia="宋体" w:hAnsi="宋体" w:cs="宋体"/>
                <w:szCs w:val="21"/>
                <w:highlight w:val="none"/>
              </w:rPr>
              <w:t>G</w:t>
            </w:r>
            <w:r>
              <w:rPr>
                <w:rFonts w:ascii="宋体" w:eastAsia="宋体" w:hAnsi="宋体" w:cs="宋体" w:hint="eastAsia"/>
                <w:szCs w:val="21"/>
                <w:highlight w:val="none"/>
              </w:rPr>
              <w:t>通信</w:t>
            </w:r>
            <w:r>
              <w:rPr>
                <w:rFonts w:ascii="宋体" w:eastAsia="宋体" w:hAnsi="宋体" w:cs="宋体"/>
                <w:szCs w:val="21"/>
                <w:highlight w:val="none"/>
              </w:rPr>
              <w:t>基站。</w:t>
            </w:r>
            <w:r>
              <w:rPr>
                <w:rFonts w:ascii="宋体" w:eastAsia="宋体" w:hAnsi="宋体" w:cs="宋体" w:hint="eastAsia"/>
                <w:szCs w:val="21"/>
                <w:highlight w:val="none"/>
              </w:rPr>
              <w:t>原因</w:t>
            </w:r>
            <w:r>
              <w:rPr>
                <w:rFonts w:ascii="宋体" w:eastAsia="宋体" w:hAnsi="宋体" w:cs="宋体"/>
                <w:szCs w:val="21"/>
                <w:highlight w:val="none"/>
              </w:rPr>
              <w:t>为</w:t>
            </w:r>
            <w:r>
              <w:rPr>
                <w:rFonts w:ascii="宋体" w:eastAsia="宋体" w:hAnsi="宋体" w:cs="宋体" w:hint="eastAsia"/>
                <w:szCs w:val="21"/>
                <w:highlight w:val="none"/>
              </w:rPr>
              <w:t>（1）大部分市政公厕为路边临时建设，没有土地使用手续，用水用电都是临时的。（2）临时公厕基础比较差，只符合公厕建设和使用要求，不能加附其他设施。</w:t>
            </w:r>
          </w:p>
          <w:p>
            <w:pPr>
              <w:spacing w:line="300" w:lineRule="auto"/>
              <w:rPr>
                <w:rFonts w:ascii="宋体" w:eastAsia="宋体" w:hAnsi="宋体" w:cs="宋体"/>
                <w:szCs w:val="21"/>
                <w:highlight w:val="none"/>
              </w:rPr>
            </w:pPr>
            <w:r>
              <w:rPr>
                <w:rFonts w:ascii="宋体" w:eastAsia="宋体" w:hAnsi="宋体" w:cs="宋体" w:hint="eastAsia"/>
                <w:szCs w:val="21"/>
                <w:highlight w:val="none"/>
              </w:rPr>
              <w:t>五、采纳，已根据意见修改。详见文本第53页第十七章 支撑保障规划第二节“加强规划统筹”相关内容。</w:t>
            </w:r>
          </w:p>
        </w:tc>
      </w:tr>
    </w:tbl>
    <w:p>
      <w:pPr>
        <w:spacing w:before="156" w:beforeLines="50" w:line="500" w:lineRule="exact"/>
        <w:ind w:right="482" w:firstLine="420" w:firstLineChars="200"/>
        <w:rPr>
          <w:rFonts w:ascii="宋体" w:eastAsia="宋体" w:hAnsi="宋体" w:cs="宋体"/>
          <w:b/>
          <w:bCs/>
          <w:sz w:val="24"/>
          <w:szCs w:val="24"/>
          <w:highlight w:val="none"/>
        </w:rPr>
      </w:pPr>
    </w:p>
    <w:p>
      <w:pPr>
        <w:spacing w:before="156" w:beforeLines="50" w:line="500" w:lineRule="exact"/>
        <w:ind w:right="482" w:firstLine="420" w:firstLineChars="200"/>
        <w:rPr>
          <w:rFonts w:ascii="宋体" w:eastAsia="宋体" w:hAnsi="宋体" w:cs="宋体"/>
          <w:b/>
          <w:bCs/>
          <w:sz w:val="24"/>
          <w:szCs w:val="24"/>
          <w:highlight w:val="none"/>
        </w:rPr>
      </w:pPr>
    </w:p>
    <w:p>
      <w:pPr>
        <w:spacing w:before="156" w:beforeLines="50" w:line="500" w:lineRule="exact"/>
        <w:ind w:right="482" w:firstLine="420" w:firstLineChars="200"/>
        <w:rPr>
          <w:rFonts w:ascii="宋体" w:eastAsia="宋体" w:hAnsi="宋体" w:cs="宋体"/>
          <w:b/>
          <w:bCs/>
          <w:sz w:val="24"/>
          <w:szCs w:val="24"/>
          <w:highlight w:val="none"/>
        </w:rPr>
      </w:pPr>
    </w:p>
    <w:p>
      <w:pPr>
        <w:spacing w:before="156" w:beforeLines="50" w:line="500" w:lineRule="exact"/>
        <w:ind w:right="482" w:firstLine="420" w:firstLineChars="200"/>
        <w:rPr>
          <w:rFonts w:ascii="宋体" w:eastAsia="宋体" w:hAnsi="宋体" w:cs="宋体"/>
          <w:b/>
          <w:bCs/>
          <w:sz w:val="24"/>
          <w:szCs w:val="24"/>
          <w:highlight w:val="none"/>
        </w:rPr>
      </w:pPr>
    </w:p>
    <w:p>
      <w:pPr>
        <w:spacing w:before="156" w:beforeLines="50" w:line="500" w:lineRule="exact"/>
        <w:ind w:right="482" w:firstLine="420" w:firstLineChars="200"/>
        <w:rPr>
          <w:rFonts w:ascii="宋体" w:eastAsia="宋体" w:hAnsi="宋体" w:cs="宋体"/>
          <w:b/>
          <w:bCs/>
          <w:sz w:val="24"/>
          <w:szCs w:val="24"/>
          <w:highlight w:val="none"/>
        </w:rPr>
      </w:pPr>
    </w:p>
    <w:p>
      <w:pPr>
        <w:spacing w:before="156" w:beforeLines="50" w:line="500" w:lineRule="exact"/>
        <w:ind w:right="482" w:firstLine="420" w:firstLineChars="200"/>
        <w:rPr>
          <w:rFonts w:ascii="宋体" w:eastAsia="宋体" w:hAnsi="宋体" w:cs="宋体"/>
          <w:b/>
          <w:bCs/>
          <w:sz w:val="24"/>
          <w:szCs w:val="24"/>
          <w:highlight w:val="none"/>
        </w:rPr>
      </w:pPr>
    </w:p>
    <w:p>
      <w:pPr>
        <w:spacing w:before="156" w:beforeLines="50" w:line="500" w:lineRule="exact"/>
        <w:ind w:right="482"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二、市自然资源局局业务会意见执行情况答复</w:t>
      </w:r>
    </w:p>
    <w:tbl>
      <w:tblPr>
        <w:tblStyle w:val="TableNormal"/>
        <w:tblW w:w="10317"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676"/>
        <w:gridCol w:w="2013"/>
        <w:gridCol w:w="4024"/>
        <w:gridCol w:w="3604"/>
      </w:tblGrid>
      <w:tr>
        <w:tblPrEx>
          <w:tblW w:w="10317"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Ex>
        <w:trPr>
          <w:cantSplit/>
          <w:trHeight w:val="523"/>
          <w:tblHeader/>
        </w:trPr>
        <w:tc>
          <w:tcPr>
            <w:tcW w:w="676"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序号</w:t>
            </w:r>
          </w:p>
        </w:tc>
        <w:tc>
          <w:tcPr>
            <w:tcW w:w="2013"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意见来源</w:t>
            </w:r>
          </w:p>
        </w:tc>
        <w:tc>
          <w:tcPr>
            <w:tcW w:w="4024"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意见内容</w:t>
            </w:r>
          </w:p>
        </w:tc>
        <w:tc>
          <w:tcPr>
            <w:tcW w:w="3604"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意见执行情况</w:t>
            </w:r>
          </w:p>
        </w:tc>
      </w:tr>
      <w:tr>
        <w:tblPrEx>
          <w:tblW w:w="10317" w:type="dxa"/>
          <w:tblInd w:w="-6" w:type="dxa"/>
          <w:tblLayout w:type="fixed"/>
          <w:tblCellMar>
            <w:top w:w="0" w:type="dxa"/>
            <w:left w:w="108" w:type="dxa"/>
            <w:bottom w:w="0" w:type="dxa"/>
            <w:right w:w="108" w:type="dxa"/>
          </w:tblCellMar>
        </w:tblPrEx>
        <w:trPr>
          <w:cantSplit/>
          <w:trHeight w:val="4472"/>
        </w:trPr>
        <w:tc>
          <w:tcPr>
            <w:tcW w:w="676" w:type="dxa"/>
            <w:vAlign w:val="center"/>
          </w:tcPr>
          <w:p>
            <w:pPr>
              <w:ind w:firstLine="210" w:firstLineChars="100"/>
              <w:rPr>
                <w:rFonts w:ascii="宋体" w:eastAsia="宋体" w:hAnsi="宋体" w:cs="宋体"/>
                <w:bCs/>
                <w:szCs w:val="21"/>
                <w:highlight w:val="none"/>
              </w:rPr>
            </w:pPr>
            <w:r>
              <w:rPr>
                <w:rFonts w:cs="宋体" w:hint="eastAsia"/>
                <w:b/>
                <w:bCs/>
                <w:highlight w:val="none"/>
              </w:rPr>
              <w:t>1</w:t>
            </w:r>
          </w:p>
        </w:tc>
        <w:tc>
          <w:tcPr>
            <w:tcW w:w="2013" w:type="dxa"/>
            <w:vAlign w:val="center"/>
          </w:tcPr>
          <w:p>
            <w:pPr>
              <w:rPr>
                <w:rFonts w:ascii="宋体" w:eastAsia="宋体" w:hAnsi="宋体" w:cs="宋体"/>
                <w:bCs/>
                <w:szCs w:val="21"/>
                <w:highlight w:val="none"/>
              </w:rPr>
            </w:pPr>
          </w:p>
          <w:p>
            <w:pPr>
              <w:rPr>
                <w:rFonts w:ascii="宋体" w:eastAsia="宋体" w:hAnsi="宋体" w:cs="宋体"/>
                <w:bCs/>
                <w:szCs w:val="21"/>
                <w:highlight w:val="none"/>
              </w:rPr>
            </w:pPr>
          </w:p>
          <w:p>
            <w:pPr>
              <w:rPr>
                <w:rFonts w:ascii="宋体" w:eastAsia="宋体" w:hAnsi="宋体" w:cs="宋体"/>
                <w:bCs/>
                <w:szCs w:val="21"/>
                <w:highlight w:val="none"/>
              </w:rPr>
            </w:pPr>
          </w:p>
          <w:p>
            <w:pPr>
              <w:rPr>
                <w:rFonts w:ascii="宋体" w:eastAsia="宋体" w:hAnsi="宋体" w:cs="宋体"/>
                <w:bCs/>
                <w:szCs w:val="21"/>
                <w:highlight w:val="none"/>
              </w:rPr>
            </w:pPr>
            <w:r>
              <w:rPr>
                <w:rFonts w:ascii="宋体" w:eastAsia="宋体" w:hAnsi="宋体" w:cs="宋体" w:hint="eastAsia"/>
                <w:bCs/>
                <w:szCs w:val="21"/>
                <w:highlight w:val="none"/>
              </w:rPr>
              <w:t>北海市自然资源局</w:t>
            </w:r>
          </w:p>
          <w:p>
            <w:pPr>
              <w:rPr>
                <w:rFonts w:ascii="宋体" w:eastAsia="宋体" w:hAnsi="宋体" w:cs="宋体"/>
                <w:bCs/>
                <w:szCs w:val="21"/>
                <w:highlight w:val="none"/>
              </w:rPr>
            </w:pPr>
          </w:p>
          <w:p>
            <w:pPr>
              <w:rPr>
                <w:rFonts w:ascii="宋体" w:eastAsia="宋体" w:hAnsi="宋体" w:cs="宋体"/>
                <w:bCs/>
                <w:szCs w:val="21"/>
                <w:highlight w:val="none"/>
              </w:rPr>
            </w:pPr>
          </w:p>
          <w:p>
            <w:pPr>
              <w:rPr>
                <w:rFonts w:ascii="宋体" w:eastAsia="宋体" w:hAnsi="宋体" w:cs="宋体"/>
                <w:bCs/>
                <w:szCs w:val="21"/>
                <w:highlight w:val="none"/>
              </w:rPr>
            </w:pPr>
          </w:p>
        </w:tc>
        <w:tc>
          <w:tcPr>
            <w:tcW w:w="4024" w:type="dxa"/>
            <w:vAlign w:val="center"/>
          </w:tcPr>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进一步完善规划方面的表述，（1）综合考虑避让基本农田以及特殊项目的安全距离等问题，（2）关于基站用地面积和建筑面积，从集约节约利用土地的角度出发，要有文件数据支撑，为市政府依法决策提供依据。</w:t>
            </w:r>
          </w:p>
          <w:p>
            <w:pPr>
              <w:spacing w:line="300" w:lineRule="auto"/>
              <w:rPr>
                <w:rFonts w:ascii="宋体" w:eastAsia="宋体" w:hAnsi="宋体" w:cs="宋体"/>
                <w:bCs/>
                <w:szCs w:val="21"/>
                <w:highlight w:val="none"/>
              </w:rPr>
            </w:pPr>
          </w:p>
        </w:tc>
        <w:tc>
          <w:tcPr>
            <w:tcW w:w="3604" w:type="dxa"/>
            <w:vAlign w:val="center"/>
          </w:tcPr>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（1）采纳，规划新建基站、机房选址与国土空间规划进一步核对，不得占用永久基本农田，建议使用存量建设用地。详见</w:t>
            </w:r>
            <w:r>
              <w:rPr>
                <w:rFonts w:ascii="宋体" w:eastAsia="宋体" w:hAnsi="宋体" w:cs="宋体"/>
                <w:bCs/>
                <w:szCs w:val="21"/>
                <w:highlight w:val="none"/>
              </w:rPr>
              <w:t>第</w:t>
            </w:r>
            <w:r>
              <w:rPr>
                <w:rFonts w:ascii="宋体" w:eastAsia="宋体" w:hAnsi="宋体" w:cs="宋体" w:hint="eastAsia"/>
                <w:bCs/>
                <w:szCs w:val="21"/>
                <w:highlight w:val="none"/>
              </w:rPr>
              <w:t>9</w:t>
            </w:r>
            <w:r>
              <w:rPr>
                <w:rFonts w:ascii="宋体" w:eastAsia="宋体" w:hAnsi="宋体" w:cs="宋体"/>
                <w:bCs/>
                <w:szCs w:val="21"/>
                <w:highlight w:val="none"/>
              </w:rPr>
              <w:t>页</w:t>
            </w:r>
            <w:r>
              <w:rPr>
                <w:rFonts w:ascii="宋体" w:eastAsia="宋体" w:hAnsi="宋体" w:cs="宋体" w:hint="eastAsia"/>
                <w:bCs/>
                <w:szCs w:val="21"/>
                <w:highlight w:val="none"/>
              </w:rPr>
              <w:t>，规划</w:t>
            </w:r>
            <w:r>
              <w:rPr>
                <w:rFonts w:ascii="宋体" w:eastAsia="宋体" w:hAnsi="宋体" w:cs="宋体"/>
                <w:bCs/>
                <w:szCs w:val="21"/>
                <w:highlight w:val="none"/>
              </w:rPr>
              <w:t>原则第</w:t>
            </w:r>
            <w:r>
              <w:rPr>
                <w:rFonts w:ascii="宋体" w:eastAsia="宋体" w:hAnsi="宋体" w:cs="宋体" w:hint="eastAsia"/>
                <w:bCs/>
                <w:szCs w:val="21"/>
                <w:highlight w:val="none"/>
              </w:rPr>
              <w:t>8点</w:t>
            </w:r>
            <w:r>
              <w:rPr>
                <w:rFonts w:ascii="宋体" w:eastAsia="宋体" w:hAnsi="宋体" w:cs="宋体"/>
                <w:bCs/>
                <w:szCs w:val="21"/>
                <w:highlight w:val="none"/>
              </w:rPr>
              <w:t>。</w:t>
            </w:r>
            <w:r>
              <w:rPr>
                <w:rFonts w:ascii="宋体" w:eastAsia="宋体" w:hAnsi="宋体" w:cs="宋体" w:hint="eastAsia"/>
                <w:bCs/>
                <w:szCs w:val="21"/>
                <w:highlight w:val="none"/>
              </w:rPr>
              <w:t>（2）基站用地面积和建筑面积根据运营商提供的数据进行规划设计。</w:t>
            </w:r>
          </w:p>
          <w:p>
            <w:pPr>
              <w:spacing w:line="300" w:lineRule="auto"/>
              <w:rPr>
                <w:rFonts w:ascii="宋体" w:eastAsia="宋体" w:hAnsi="宋体" w:cs="宋体"/>
                <w:szCs w:val="21"/>
                <w:highlight w:val="none"/>
              </w:rPr>
            </w:pPr>
          </w:p>
        </w:tc>
      </w:tr>
    </w:tbl>
    <w:p>
      <w:pPr>
        <w:jc w:val="right"/>
        <w:rPr>
          <w:rFonts w:cs="Times New Roman"/>
          <w:highlight w:val="none"/>
        </w:rPr>
      </w:pPr>
    </w:p>
    <w:p>
      <w:pPr>
        <w:jc w:val="center"/>
        <w:rPr>
          <w:rFonts w:cs="Times New Roman"/>
          <w:highlight w:val="none"/>
        </w:rPr>
      </w:pPr>
      <w:r>
        <w:rPr>
          <w:rFonts w:cs="Times New Roman" w:hint="eastAsia"/>
          <w:highlight w:val="none"/>
        </w:rPr>
        <w:t xml:space="preserve">                                                                       华蓝设计（集团）有限公司</w:t>
      </w:r>
    </w:p>
    <w:p>
      <w:pPr>
        <w:jc w:val="center"/>
        <w:rPr>
          <w:rFonts w:cs="Times New Roman"/>
          <w:highlight w:val="none"/>
        </w:rPr>
      </w:pPr>
    </w:p>
    <w:p>
      <w:pPr>
        <w:ind w:firstLine="6720" w:firstLineChars="3200"/>
        <w:rPr>
          <w:rFonts w:cs="Times New Roman"/>
          <w:highlight w:val="none"/>
        </w:rPr>
      </w:pPr>
      <w:r>
        <w:rPr>
          <w:rFonts w:cs="Times New Roman" w:hint="eastAsia"/>
          <w:highlight w:val="none"/>
        </w:rPr>
        <w:t xml:space="preserve">             二〇二四年一月</w:t>
      </w:r>
    </w:p>
    <w:p>
      <w:pPr>
        <w:spacing w:line="360" w:lineRule="auto"/>
        <w:jc w:val="center"/>
        <w:rPr>
          <w:rFonts w:ascii="Times New Roman" w:eastAsia="黑体" w:hAnsi="Times New Roman" w:cs="Arial"/>
          <w:bCs/>
          <w:sz w:val="32"/>
          <w:szCs w:val="32"/>
          <w:highlight w:val="none"/>
        </w:rPr>
      </w:pPr>
      <w:r>
        <w:rPr>
          <w:rFonts w:ascii="Times New Roman" w:eastAsia="黑体" w:hAnsi="Times New Roman" w:cs="Arial" w:hint="eastAsia"/>
          <w:bCs/>
          <w:sz w:val="32"/>
          <w:szCs w:val="32"/>
          <w:highlight w:val="none"/>
        </w:rPr>
        <w:t>广西北海市（城区）5G通信基础设施专项</w:t>
      </w:r>
    </w:p>
    <w:p>
      <w:pPr>
        <w:spacing w:line="360" w:lineRule="auto"/>
        <w:jc w:val="center"/>
        <w:rPr>
          <w:rFonts w:ascii="Times New Roman" w:eastAsia="黑体" w:hAnsi="Times New Roman" w:cs="Arial"/>
          <w:bCs/>
          <w:sz w:val="32"/>
          <w:szCs w:val="32"/>
          <w:highlight w:val="none"/>
        </w:rPr>
      </w:pPr>
      <w:r>
        <w:rPr>
          <w:rFonts w:ascii="Times New Roman" w:eastAsia="黑体" w:hAnsi="Times New Roman" w:cs="Arial" w:hint="eastAsia"/>
          <w:bCs/>
          <w:sz w:val="32"/>
          <w:szCs w:val="32"/>
          <w:highlight w:val="none"/>
        </w:rPr>
        <w:t>规划（2023-2030</w:t>
      </w:r>
      <w:r>
        <w:rPr>
          <w:rFonts w:ascii="Times New Roman" w:eastAsia="黑体" w:hAnsi="Times New Roman" w:cs="Arial" w:hint="eastAsia"/>
          <w:bCs/>
          <w:sz w:val="32"/>
          <w:szCs w:val="32"/>
          <w:highlight w:val="none"/>
          <w:lang w:val="en-US" w:eastAsia="zh-CN"/>
        </w:rPr>
        <w:t>年</w:t>
      </w:r>
      <w:r>
        <w:rPr>
          <w:rFonts w:ascii="Times New Roman" w:eastAsia="黑体" w:hAnsi="Times New Roman" w:cs="Arial" w:hint="eastAsia"/>
          <w:bCs/>
          <w:sz w:val="32"/>
          <w:szCs w:val="32"/>
          <w:highlight w:val="none"/>
        </w:rPr>
        <w:t>）专家评审会议纪要</w:t>
      </w:r>
    </w:p>
    <w:p>
      <w:pPr>
        <w:spacing w:line="360" w:lineRule="auto"/>
        <w:jc w:val="center"/>
        <w:rPr>
          <w:rFonts w:ascii="仿宋" w:eastAsia="仿宋" w:hAnsi="仿宋" w:cs="仿宋"/>
          <w:sz w:val="28"/>
          <w:szCs w:val="28"/>
          <w:highlight w:val="none"/>
        </w:rPr>
      </w:pPr>
      <w:r>
        <w:rPr>
          <w:rFonts w:ascii="仿宋" w:eastAsia="仿宋" w:hAnsi="仿宋" w:cs="仿宋" w:hint="eastAsia"/>
          <w:sz w:val="28"/>
          <w:szCs w:val="28"/>
          <w:highlight w:val="none"/>
        </w:rPr>
        <w:t>（二〇二四年一月二十五日）</w:t>
      </w:r>
    </w:p>
    <w:p>
      <w:pPr>
        <w:spacing w:line="360" w:lineRule="auto"/>
        <w:jc w:val="center"/>
        <w:rPr>
          <w:rFonts w:ascii="仿宋" w:eastAsia="仿宋" w:hAnsi="仿宋" w:cs="仿宋"/>
          <w:sz w:val="32"/>
          <w:szCs w:val="32"/>
          <w:highlight w:val="none"/>
        </w:rPr>
      </w:pPr>
    </w:p>
    <w:p>
      <w:pPr>
        <w:spacing w:line="360" w:lineRule="auto"/>
        <w:ind w:firstLine="420" w:firstLineChars="200"/>
        <w:rPr>
          <w:rFonts w:ascii="宋体" w:eastAsia="宋体" w:hAnsi="宋体" w:cs="仿宋"/>
          <w:color w:val="000000"/>
          <w:sz w:val="24"/>
          <w:szCs w:val="24"/>
          <w:highlight w:val="none"/>
        </w:rPr>
      </w:pPr>
      <w:r>
        <w:rPr>
          <w:rFonts w:ascii="宋体" w:eastAsia="宋体" w:hAnsi="宋体" w:cs="仿宋" w:hint="eastAsia"/>
          <w:sz w:val="24"/>
          <w:szCs w:val="24"/>
          <w:highlight w:val="none"/>
        </w:rPr>
        <w:t>202</w:t>
      </w:r>
      <w:r>
        <w:rPr>
          <w:rFonts w:ascii="宋体" w:eastAsia="宋体" w:hAnsi="宋体" w:cs="仿宋"/>
          <w:sz w:val="24"/>
          <w:szCs w:val="24"/>
          <w:highlight w:val="none"/>
        </w:rPr>
        <w:t>4</w:t>
      </w:r>
      <w:r>
        <w:rPr>
          <w:rFonts w:ascii="宋体" w:eastAsia="宋体" w:hAnsi="宋体" w:cs="仿宋" w:hint="eastAsia"/>
          <w:sz w:val="24"/>
          <w:szCs w:val="24"/>
          <w:highlight w:val="none"/>
        </w:rPr>
        <w:t>年</w:t>
      </w:r>
      <w:r>
        <w:rPr>
          <w:rFonts w:ascii="宋体" w:eastAsia="宋体" w:hAnsi="宋体" w:cs="仿宋"/>
          <w:sz w:val="24"/>
          <w:szCs w:val="24"/>
          <w:highlight w:val="none"/>
        </w:rPr>
        <w:t>1</w:t>
      </w:r>
      <w:r>
        <w:rPr>
          <w:rFonts w:ascii="宋体" w:eastAsia="宋体" w:hAnsi="宋体" w:cs="仿宋" w:hint="eastAsia"/>
          <w:sz w:val="24"/>
          <w:szCs w:val="24"/>
          <w:highlight w:val="none"/>
        </w:rPr>
        <w:t>月</w:t>
      </w:r>
      <w:r>
        <w:rPr>
          <w:rFonts w:ascii="宋体" w:eastAsia="宋体" w:hAnsi="宋体" w:cs="仿宋"/>
          <w:sz w:val="24"/>
          <w:szCs w:val="24"/>
          <w:highlight w:val="none"/>
        </w:rPr>
        <w:t>25</w:t>
      </w:r>
      <w:r>
        <w:rPr>
          <w:rFonts w:ascii="宋体" w:eastAsia="宋体" w:hAnsi="宋体" w:cs="仿宋" w:hint="eastAsia"/>
          <w:sz w:val="24"/>
          <w:szCs w:val="24"/>
          <w:highlight w:val="none"/>
        </w:rPr>
        <w:t>日，根据</w:t>
      </w:r>
      <w:r>
        <w:rPr>
          <w:rFonts w:ascii="宋体" w:eastAsia="宋体" w:hAnsi="宋体" w:hint="eastAsia"/>
          <w:sz w:val="24"/>
          <w:szCs w:val="24"/>
          <w:highlight w:val="none"/>
        </w:rPr>
        <w:t>广西壮族自治区通信管理局工作安排</w:t>
      </w:r>
      <w:r>
        <w:rPr>
          <w:rFonts w:ascii="宋体" w:eastAsia="宋体" w:hAnsi="宋体" w:cs="仿宋" w:hint="eastAsia"/>
          <w:sz w:val="24"/>
          <w:szCs w:val="24"/>
          <w:highlight w:val="none"/>
        </w:rPr>
        <w:t>，北海市通信发展管理办公室在北海移动公司一楼会议室组织召开广西北海市（城区）5G通信基础设施专项规划</w:t>
      </w:r>
      <w:r>
        <w:rPr>
          <w:rFonts w:ascii="宋体" w:eastAsia="宋体" w:hAnsi="宋体" w:cs="Calibri" w:hint="eastAsia"/>
          <w:color w:val="000000"/>
          <w:kern w:val="0"/>
          <w:sz w:val="24"/>
          <w:szCs w:val="24"/>
          <w:highlight w:val="none"/>
        </w:rPr>
        <w:t>（202</w:t>
      </w:r>
      <w:r>
        <w:rPr>
          <w:rFonts w:ascii="宋体" w:eastAsia="宋体" w:hAnsi="宋体" w:cs="Calibri"/>
          <w:color w:val="000000"/>
          <w:kern w:val="0"/>
          <w:sz w:val="24"/>
          <w:szCs w:val="24"/>
          <w:highlight w:val="none"/>
        </w:rPr>
        <w:t>3</w:t>
      </w:r>
      <w:r>
        <w:rPr>
          <w:rFonts w:ascii="宋体" w:eastAsia="宋体" w:hAnsi="宋体" w:cs="Calibri" w:hint="eastAsia"/>
          <w:color w:val="000000"/>
          <w:kern w:val="0"/>
          <w:sz w:val="24"/>
          <w:szCs w:val="24"/>
          <w:highlight w:val="none"/>
        </w:rPr>
        <w:t>-20</w:t>
      </w:r>
      <w:r>
        <w:rPr>
          <w:rFonts w:ascii="宋体" w:eastAsia="宋体" w:hAnsi="宋体" w:cs="Calibri"/>
          <w:color w:val="000000"/>
          <w:kern w:val="0"/>
          <w:sz w:val="24"/>
          <w:szCs w:val="24"/>
          <w:highlight w:val="none"/>
        </w:rPr>
        <w:t>30</w:t>
      </w:r>
      <w:r>
        <w:rPr>
          <w:rFonts w:ascii="宋体" w:eastAsia="宋体" w:hAnsi="宋体" w:cs="Calibri" w:hint="eastAsia"/>
          <w:color w:val="000000"/>
          <w:kern w:val="0"/>
          <w:sz w:val="24"/>
          <w:szCs w:val="24"/>
          <w:highlight w:val="none"/>
          <w:lang w:val="en-US" w:eastAsia="zh-CN"/>
        </w:rPr>
        <w:t>年</w:t>
      </w:r>
      <w:r>
        <w:rPr>
          <w:rFonts w:ascii="宋体" w:eastAsia="宋体" w:hAnsi="宋体" w:cs="Calibri" w:hint="eastAsia"/>
          <w:color w:val="000000"/>
          <w:kern w:val="0"/>
          <w:sz w:val="24"/>
          <w:szCs w:val="24"/>
          <w:highlight w:val="none"/>
        </w:rPr>
        <w:t>）</w:t>
      </w:r>
      <w:r>
        <w:rPr>
          <w:rFonts w:ascii="宋体" w:eastAsia="宋体" w:hAnsi="宋体" w:cs="仿宋" w:hint="eastAsia"/>
          <w:sz w:val="24"/>
          <w:szCs w:val="24"/>
          <w:highlight w:val="none"/>
        </w:rPr>
        <w:t>专家评审会。市</w:t>
      </w:r>
      <w:r>
        <w:rPr>
          <w:rFonts w:ascii="宋体" w:eastAsia="宋体" w:hAnsi="宋体" w:cs="Times New Roman" w:hint="eastAsia"/>
          <w:sz w:val="24"/>
          <w:szCs w:val="24"/>
          <w:highlight w:val="none"/>
        </w:rPr>
        <w:t>工业和信息化局、公安局、民政局、自然资源局、住建局、交通运输局、旅游文体局、卫生健康委、市场监管局、乡村振兴局、铁山港政府、大数据发展局、中国电信北海分公司、中国移动广西北海分公司、中国联通北海分公司、中国铁塔北海分公司、广西广电网络北海分公司等单位有关工作负责人及特邀专家参加会议。会议特邀桂林电子科技大学北海校区校长陈名松教授，广西城乡规划设计院高级规划师、注册城乡规划师宋洋，广西国土资源规划设计集团有限公司高级工程师、注册城乡规划师肖伟峰，恒企工程技术集团有限公司高级工程师、主任规划师苏薇薇，中国移动通信集团广西有限公司北海分公司高级工程师李彦华等五位专家出席会议，并推荐陈名松教授作为专家组组长。在听</w:t>
      </w:r>
      <w:r>
        <w:rPr>
          <w:rFonts w:ascii="宋体" w:eastAsia="宋体" w:hAnsi="宋体" w:cs="仿宋" w:hint="eastAsia"/>
          <w:sz w:val="24"/>
          <w:szCs w:val="24"/>
          <w:highlight w:val="none"/>
        </w:rPr>
        <w:t>取规划编制单位</w:t>
      </w:r>
      <w:r>
        <w:rPr>
          <w:rFonts w:ascii="宋体" w:eastAsia="宋体" w:hAnsi="宋体" w:cs="宋体" w:hint="eastAsia"/>
          <w:color w:val="000000"/>
          <w:kern w:val="0"/>
          <w:sz w:val="24"/>
          <w:szCs w:val="24"/>
          <w:highlight w:val="none"/>
        </w:rPr>
        <w:t>华蓝设计（集团）有限公司</w:t>
      </w:r>
      <w:r>
        <w:rPr>
          <w:rFonts w:ascii="宋体" w:eastAsia="宋体" w:hAnsi="宋体" w:cs="仿宋" w:hint="eastAsia"/>
          <w:sz w:val="24"/>
          <w:szCs w:val="24"/>
          <w:highlight w:val="none"/>
        </w:rPr>
        <w:t>的汇报后，专家组对规划进行评审，认为</w:t>
      </w:r>
      <w:r>
        <w:rPr>
          <w:rFonts w:ascii="宋体" w:eastAsia="宋体" w:hAnsi="宋体" w:cs="仿宋" w:hint="eastAsia"/>
          <w:color w:val="000000"/>
          <w:sz w:val="24"/>
          <w:szCs w:val="24"/>
          <w:highlight w:val="none"/>
        </w:rPr>
        <w:t>《广西</w:t>
      </w:r>
      <w:r>
        <w:rPr>
          <w:rFonts w:ascii="宋体" w:eastAsia="宋体" w:hAnsi="宋体" w:cs="仿宋" w:hint="eastAsia"/>
          <w:sz w:val="24"/>
          <w:szCs w:val="24"/>
          <w:highlight w:val="none"/>
        </w:rPr>
        <w:t>北海市（城区）5G通信基础设施专项规划</w:t>
      </w:r>
      <w:r>
        <w:rPr>
          <w:rFonts w:ascii="宋体" w:eastAsia="宋体" w:hAnsi="宋体" w:cs="Calibri" w:hint="eastAsia"/>
          <w:color w:val="000000"/>
          <w:kern w:val="0"/>
          <w:sz w:val="24"/>
          <w:szCs w:val="24"/>
          <w:highlight w:val="none"/>
        </w:rPr>
        <w:t>（202</w:t>
      </w:r>
      <w:r>
        <w:rPr>
          <w:rFonts w:ascii="宋体" w:eastAsia="宋体" w:hAnsi="宋体" w:cs="Calibri"/>
          <w:color w:val="000000"/>
          <w:kern w:val="0"/>
          <w:sz w:val="24"/>
          <w:szCs w:val="24"/>
          <w:highlight w:val="none"/>
        </w:rPr>
        <w:t>3</w:t>
      </w:r>
      <w:r>
        <w:rPr>
          <w:rFonts w:ascii="宋体" w:eastAsia="宋体" w:hAnsi="宋体" w:cs="Calibri" w:hint="eastAsia"/>
          <w:color w:val="000000"/>
          <w:kern w:val="0"/>
          <w:sz w:val="24"/>
          <w:szCs w:val="24"/>
          <w:highlight w:val="none"/>
        </w:rPr>
        <w:t>-20</w:t>
      </w:r>
      <w:r>
        <w:rPr>
          <w:rFonts w:ascii="宋体" w:eastAsia="宋体" w:hAnsi="宋体" w:cs="Calibri"/>
          <w:color w:val="000000"/>
          <w:kern w:val="0"/>
          <w:sz w:val="24"/>
          <w:szCs w:val="24"/>
          <w:highlight w:val="none"/>
        </w:rPr>
        <w:t>30</w:t>
      </w:r>
      <w:r>
        <w:rPr>
          <w:rFonts w:ascii="宋体" w:eastAsia="宋体" w:hAnsi="宋体" w:cs="Calibri" w:hint="eastAsia"/>
          <w:color w:val="000000"/>
          <w:kern w:val="0"/>
          <w:sz w:val="24"/>
          <w:szCs w:val="24"/>
          <w:highlight w:val="none"/>
          <w:lang w:val="en-US" w:eastAsia="zh-CN"/>
        </w:rPr>
        <w:t>年</w:t>
      </w:r>
      <w:r>
        <w:rPr>
          <w:rFonts w:ascii="宋体" w:eastAsia="宋体" w:hAnsi="宋体" w:cs="Calibri" w:hint="eastAsia"/>
          <w:color w:val="000000"/>
          <w:kern w:val="0"/>
          <w:sz w:val="24"/>
          <w:szCs w:val="24"/>
          <w:highlight w:val="none"/>
        </w:rPr>
        <w:t>）</w:t>
      </w:r>
      <w:r>
        <w:rPr>
          <w:rFonts w:ascii="宋体" w:eastAsia="宋体" w:hAnsi="宋体" w:cs="仿宋" w:hint="eastAsia"/>
          <w:color w:val="000000"/>
          <w:sz w:val="24"/>
          <w:szCs w:val="24"/>
          <w:highlight w:val="none"/>
        </w:rPr>
        <w:t>》阐述北海市经济社会及通信基础设施的基本现状，解读有关上位规划，对影响5G发展的宏观政策、社会经济、行业应用、技术演进及发展进行了论述。详细规划5G通信宏基站布局、5G通信室内分布基站、重点机房、传输管道、传输杆路、铁塔，并对环境保护、规划实施保障提出措施与建议。本规划目标明确、思路清晰、技术路线正确、规划方案完整，基本满足规划要求，可以作为下阶段开展工作的依据。专家组及参会单位代表一致同意原则性通过该规划方案，会议纪要如下：</w:t>
      </w:r>
    </w:p>
    <w:p>
      <w:pPr>
        <w:spacing w:line="360" w:lineRule="auto"/>
        <w:ind w:firstLine="420" w:firstLineChars="200"/>
        <w:rPr>
          <w:rFonts w:ascii="宋体" w:eastAsia="宋体" w:hAnsi="宋体" w:cs="仿宋"/>
          <w:color w:val="000000"/>
          <w:sz w:val="24"/>
          <w:szCs w:val="24"/>
          <w:highlight w:val="none"/>
        </w:rPr>
      </w:pPr>
      <w:r>
        <w:rPr>
          <w:rFonts w:ascii="宋体" w:eastAsia="宋体" w:hAnsi="宋体" w:cs="仿宋" w:hint="eastAsia"/>
          <w:color w:val="000000"/>
          <w:sz w:val="24"/>
          <w:szCs w:val="24"/>
          <w:highlight w:val="none"/>
        </w:rPr>
        <w:t>一、原则性通过《广西</w:t>
      </w:r>
      <w:r>
        <w:rPr>
          <w:rFonts w:ascii="宋体" w:eastAsia="宋体" w:hAnsi="宋体" w:cs="仿宋" w:hint="eastAsia"/>
          <w:sz w:val="24"/>
          <w:szCs w:val="24"/>
          <w:highlight w:val="none"/>
        </w:rPr>
        <w:t>北海市（城区）5G通信基础设施专项规划</w:t>
      </w:r>
      <w:r>
        <w:rPr>
          <w:rFonts w:ascii="宋体" w:eastAsia="宋体" w:hAnsi="宋体" w:cs="Calibri" w:hint="eastAsia"/>
          <w:color w:val="000000"/>
          <w:kern w:val="0"/>
          <w:sz w:val="24"/>
          <w:szCs w:val="24"/>
          <w:highlight w:val="none"/>
        </w:rPr>
        <w:t>（202</w:t>
      </w:r>
      <w:r>
        <w:rPr>
          <w:rFonts w:ascii="宋体" w:eastAsia="宋体" w:hAnsi="宋体" w:cs="Calibri"/>
          <w:color w:val="000000"/>
          <w:kern w:val="0"/>
          <w:sz w:val="24"/>
          <w:szCs w:val="24"/>
          <w:highlight w:val="none"/>
        </w:rPr>
        <w:t>3</w:t>
      </w:r>
      <w:r>
        <w:rPr>
          <w:rFonts w:ascii="宋体" w:eastAsia="宋体" w:hAnsi="宋体" w:cs="Calibri" w:hint="eastAsia"/>
          <w:color w:val="000000"/>
          <w:kern w:val="0"/>
          <w:sz w:val="24"/>
          <w:szCs w:val="24"/>
          <w:highlight w:val="none"/>
        </w:rPr>
        <w:t>-20</w:t>
      </w:r>
      <w:r>
        <w:rPr>
          <w:rFonts w:ascii="宋体" w:eastAsia="宋体" w:hAnsi="宋体" w:cs="Calibri"/>
          <w:color w:val="000000"/>
          <w:kern w:val="0"/>
          <w:sz w:val="24"/>
          <w:szCs w:val="24"/>
          <w:highlight w:val="none"/>
        </w:rPr>
        <w:t>30</w:t>
      </w:r>
      <w:r>
        <w:rPr>
          <w:rFonts w:ascii="宋体" w:eastAsia="宋体" w:hAnsi="宋体" w:cs="Calibri" w:hint="eastAsia"/>
          <w:color w:val="000000"/>
          <w:kern w:val="0"/>
          <w:sz w:val="24"/>
          <w:szCs w:val="24"/>
          <w:highlight w:val="none"/>
          <w:lang w:val="en-US" w:eastAsia="zh-CN"/>
        </w:rPr>
        <w:t>年</w:t>
      </w:r>
      <w:r>
        <w:rPr>
          <w:rFonts w:ascii="宋体" w:eastAsia="宋体" w:hAnsi="宋体" w:cs="Calibri" w:hint="eastAsia"/>
          <w:color w:val="000000"/>
          <w:kern w:val="0"/>
          <w:sz w:val="24"/>
          <w:szCs w:val="24"/>
          <w:highlight w:val="none"/>
        </w:rPr>
        <w:t>）</w:t>
      </w:r>
      <w:r>
        <w:rPr>
          <w:rFonts w:ascii="宋体" w:eastAsia="宋体" w:hAnsi="宋体" w:cs="仿宋" w:hint="eastAsia"/>
          <w:color w:val="000000"/>
          <w:sz w:val="24"/>
          <w:szCs w:val="24"/>
          <w:highlight w:val="none"/>
        </w:rPr>
        <w:t>》方案。</w:t>
      </w:r>
    </w:p>
    <w:p>
      <w:pPr>
        <w:spacing w:line="360" w:lineRule="auto"/>
        <w:ind w:firstLine="420" w:firstLineChars="200"/>
        <w:rPr>
          <w:rFonts w:ascii="宋体" w:eastAsia="宋体" w:hAnsi="宋体" w:cs="仿宋"/>
          <w:color w:val="000000"/>
          <w:sz w:val="24"/>
          <w:szCs w:val="24"/>
          <w:highlight w:val="none"/>
        </w:rPr>
      </w:pPr>
      <w:r>
        <w:rPr>
          <w:rFonts w:ascii="宋体" w:eastAsia="宋体" w:hAnsi="宋体" w:cs="仿宋" w:hint="eastAsia"/>
          <w:color w:val="000000"/>
          <w:sz w:val="24"/>
          <w:szCs w:val="24"/>
          <w:highlight w:val="none"/>
        </w:rPr>
        <w:t>二、会议要求按以下意见对规划方案进一步修改完善：</w:t>
      </w:r>
    </w:p>
    <w:p>
      <w:pPr>
        <w:pStyle w:val="NormalWeb"/>
        <w:spacing w:before="0" w:beforeAutospacing="0" w:after="0" w:afterAutospacing="0" w:line="360" w:lineRule="auto"/>
        <w:ind w:firstLine="420" w:firstLineChars="200"/>
        <w:jc w:val="both"/>
        <w:rPr>
          <w:rFonts w:cs="仿宋"/>
          <w:color w:val="000000"/>
          <w:kern w:val="2"/>
          <w:highlight w:val="none"/>
        </w:rPr>
      </w:pPr>
      <w:r>
        <w:rPr>
          <w:rFonts w:cs="仿宋" w:hint="eastAsia"/>
          <w:color w:val="000000"/>
          <w:kern w:val="2"/>
          <w:highlight w:val="none"/>
        </w:rPr>
        <w:t>1、充分论证网络覆盖率等规划目标的合理性。</w:t>
      </w:r>
    </w:p>
    <w:p>
      <w:pPr>
        <w:pStyle w:val="NormalWeb"/>
        <w:spacing w:before="0" w:beforeAutospacing="0" w:after="0" w:afterAutospacing="0" w:line="360" w:lineRule="auto"/>
        <w:ind w:firstLine="420" w:firstLineChars="200"/>
        <w:jc w:val="both"/>
        <w:rPr>
          <w:rFonts w:cs="仿宋"/>
          <w:color w:val="000000"/>
          <w:kern w:val="2"/>
          <w:highlight w:val="none"/>
        </w:rPr>
      </w:pPr>
      <w:r>
        <w:rPr>
          <w:rFonts w:cs="仿宋" w:hint="eastAsia"/>
          <w:color w:val="000000"/>
          <w:kern w:val="2"/>
          <w:highlight w:val="none"/>
        </w:rPr>
        <w:t>2、建议在规划设计中要考虑技术的迭代升级，从5G到6G的无缝衔接。</w:t>
      </w:r>
    </w:p>
    <w:p>
      <w:pPr>
        <w:pStyle w:val="NormalWeb"/>
        <w:spacing w:before="0" w:beforeAutospacing="0" w:after="0" w:afterAutospacing="0" w:line="360" w:lineRule="auto"/>
        <w:ind w:firstLine="420" w:firstLineChars="200"/>
        <w:rPr>
          <w:rFonts w:cs="仿宋"/>
          <w:color w:val="000000"/>
          <w:kern w:val="2"/>
          <w:highlight w:val="none"/>
        </w:rPr>
      </w:pPr>
      <w:r>
        <w:rPr>
          <w:rFonts w:cs="仿宋" w:hint="eastAsia"/>
          <w:color w:val="000000"/>
          <w:kern w:val="2"/>
          <w:highlight w:val="none"/>
        </w:rPr>
        <w:t>3、结合中央、自治区最新的政策文件要求，加强现状情况分析，重点分析现在存在的问题，并在规划中提出合理解决方案。</w:t>
      </w:r>
    </w:p>
    <w:p>
      <w:pPr>
        <w:pStyle w:val="NormalWeb"/>
        <w:spacing w:before="0" w:beforeAutospacing="0" w:after="0" w:afterAutospacing="0" w:line="360" w:lineRule="auto"/>
        <w:ind w:firstLine="420" w:firstLineChars="200"/>
        <w:rPr>
          <w:rFonts w:cs="仿宋"/>
          <w:color w:val="000000"/>
          <w:kern w:val="2"/>
          <w:highlight w:val="none"/>
        </w:rPr>
      </w:pPr>
      <w:r>
        <w:rPr>
          <w:rFonts w:cs="仿宋" w:hint="eastAsia"/>
          <w:color w:val="000000"/>
          <w:kern w:val="2"/>
          <w:highlight w:val="none"/>
        </w:rPr>
        <w:t>4、建议进一步加强与北海市国土空间总体规划和相关专项规划的衔接。</w:t>
      </w:r>
    </w:p>
    <w:p>
      <w:pPr>
        <w:pStyle w:val="NormalWeb"/>
        <w:spacing w:before="0" w:beforeAutospacing="0" w:after="0" w:afterAutospacing="0" w:line="360" w:lineRule="auto"/>
        <w:ind w:firstLine="420" w:firstLineChars="200"/>
        <w:rPr>
          <w:rFonts w:cs="仿宋"/>
          <w:color w:val="000000"/>
          <w:kern w:val="2"/>
          <w:highlight w:val="none"/>
        </w:rPr>
      </w:pPr>
      <w:r>
        <w:rPr>
          <w:rFonts w:cs="仿宋" w:hint="eastAsia"/>
          <w:color w:val="000000"/>
          <w:kern w:val="2"/>
          <w:highlight w:val="none"/>
        </w:rPr>
        <w:t>5、进一步补充说明与历史文化保护等相关领域项目的衔接和统筹，提出相应措施或方案。</w:t>
      </w:r>
    </w:p>
    <w:p>
      <w:pPr>
        <w:pStyle w:val="ListParagraph"/>
        <w:spacing w:line="360" w:lineRule="auto"/>
        <w:ind w:firstLine="480"/>
        <w:jc w:val="left"/>
        <w:rPr>
          <w:rFonts w:ascii="宋体" w:eastAsia="宋体" w:hAnsi="宋体" w:cs="仿宋"/>
          <w:color w:val="000000"/>
          <w:sz w:val="24"/>
          <w:szCs w:val="24"/>
          <w:highlight w:val="none"/>
        </w:rPr>
      </w:pPr>
      <w:r>
        <w:rPr>
          <w:rFonts w:ascii="宋体" w:eastAsia="宋体" w:hAnsi="宋体" w:cs="仿宋" w:hint="eastAsia"/>
          <w:color w:val="000000"/>
          <w:sz w:val="24"/>
          <w:szCs w:val="24"/>
          <w:highlight w:val="none"/>
        </w:rPr>
        <w:t>6、建议针对热点景区、高校、商圈、交通枢纽等人流密集区域，补充规划方案在容量保障方面的考虑。</w:t>
      </w:r>
    </w:p>
    <w:p>
      <w:pPr>
        <w:spacing w:line="360" w:lineRule="auto"/>
        <w:ind w:firstLine="420" w:firstLineChars="200"/>
        <w:rPr>
          <w:rFonts w:ascii="宋体" w:eastAsia="宋体" w:hAnsi="宋体"/>
          <w:sz w:val="24"/>
          <w:szCs w:val="24"/>
          <w:highlight w:val="none"/>
        </w:rPr>
      </w:pPr>
      <w:r>
        <w:rPr>
          <w:rFonts w:ascii="宋体" w:eastAsia="宋体" w:hAnsi="宋体" w:cs="仿宋" w:hint="eastAsia"/>
          <w:color w:val="000000"/>
          <w:sz w:val="24"/>
          <w:szCs w:val="24"/>
          <w:highlight w:val="none"/>
        </w:rPr>
        <w:t>三、各</w:t>
      </w:r>
      <w:r>
        <w:rPr>
          <w:rFonts w:ascii="宋体" w:eastAsia="宋体" w:hAnsi="宋体" w:hint="eastAsia"/>
          <w:sz w:val="24"/>
          <w:szCs w:val="24"/>
          <w:highlight w:val="none"/>
        </w:rPr>
        <w:t>参会部门评审意见：</w:t>
      </w:r>
    </w:p>
    <w:p>
      <w:pPr>
        <w:spacing w:line="360" w:lineRule="auto"/>
        <w:ind w:firstLine="420" w:firstLineChars="200"/>
        <w:rPr>
          <w:rFonts w:ascii="宋体" w:eastAsia="宋体" w:hAnsi="宋体"/>
          <w:sz w:val="24"/>
          <w:szCs w:val="24"/>
          <w:highlight w:val="none"/>
        </w:rPr>
      </w:pPr>
      <w:r>
        <w:rPr>
          <w:rFonts w:ascii="宋体" w:eastAsia="宋体" w:hAnsi="宋体" w:hint="eastAsia"/>
          <w:sz w:val="24"/>
          <w:szCs w:val="24"/>
          <w:highlight w:val="none"/>
        </w:rPr>
        <w:t>1、北海市自然资源局</w:t>
      </w:r>
    </w:p>
    <w:p>
      <w:pPr>
        <w:spacing w:line="360" w:lineRule="auto"/>
        <w:ind w:firstLine="336" w:firstLineChars="160"/>
        <w:rPr>
          <w:rFonts w:ascii="宋体" w:eastAsia="宋体" w:hAnsi="宋体"/>
          <w:sz w:val="24"/>
          <w:szCs w:val="24"/>
          <w:highlight w:val="none"/>
        </w:rPr>
      </w:pPr>
      <w:r>
        <w:rPr>
          <w:rFonts w:ascii="宋体" w:eastAsia="宋体" w:hAnsi="宋体" w:hint="eastAsia"/>
          <w:sz w:val="24"/>
          <w:szCs w:val="24"/>
          <w:highlight w:val="none"/>
        </w:rPr>
        <w:t>（1）补充关于新建住宅区、商务楼宇通信配套设施设计指引。</w:t>
      </w:r>
    </w:p>
    <w:p>
      <w:pPr>
        <w:spacing w:line="360" w:lineRule="auto"/>
        <w:ind w:firstLine="336" w:firstLineChars="160"/>
        <w:rPr>
          <w:rFonts w:ascii="宋体" w:eastAsia="宋体" w:hAnsi="宋体"/>
          <w:sz w:val="24"/>
          <w:szCs w:val="24"/>
          <w:highlight w:val="none"/>
        </w:rPr>
      </w:pPr>
      <w:r>
        <w:rPr>
          <w:rFonts w:ascii="宋体" w:eastAsia="宋体" w:hAnsi="宋体" w:hint="eastAsia"/>
          <w:sz w:val="24"/>
          <w:szCs w:val="24"/>
          <w:highlight w:val="none"/>
        </w:rPr>
        <w:t>（2）补充国空中“一张图”系统相关内容。</w:t>
      </w:r>
    </w:p>
    <w:p>
      <w:pPr>
        <w:spacing w:line="360" w:lineRule="auto"/>
        <w:ind w:firstLine="420" w:firstLineChars="200"/>
        <w:rPr>
          <w:rFonts w:ascii="宋体" w:eastAsia="宋体" w:hAnsi="宋体"/>
          <w:sz w:val="24"/>
          <w:szCs w:val="24"/>
          <w:highlight w:val="none"/>
        </w:rPr>
      </w:pPr>
      <w:r>
        <w:rPr>
          <w:rFonts w:ascii="宋体" w:eastAsia="宋体" w:hAnsi="宋体" w:hint="eastAsia"/>
          <w:sz w:val="24"/>
          <w:szCs w:val="24"/>
          <w:highlight w:val="none"/>
        </w:rPr>
        <w:t>2、其它单位无修改意见。</w:t>
      </w:r>
    </w:p>
    <w:p>
      <w:pPr>
        <w:spacing w:line="360" w:lineRule="auto"/>
        <w:ind w:firstLine="420" w:firstLineChars="200"/>
        <w:rPr>
          <w:rFonts w:ascii="宋体" w:eastAsia="宋体" w:hAnsi="宋体" w:cs="仿宋"/>
          <w:b/>
          <w:bCs/>
          <w:color w:val="000000"/>
          <w:sz w:val="28"/>
          <w:szCs w:val="28"/>
          <w:highlight w:val="none"/>
        </w:rPr>
      </w:pPr>
      <w:r>
        <w:rPr>
          <w:rFonts w:ascii="宋体" w:eastAsia="宋体" w:hAnsi="宋体" w:cs="仿宋" w:hint="eastAsia"/>
          <w:b/>
          <w:bCs/>
          <w:color w:val="000000"/>
          <w:sz w:val="28"/>
          <w:szCs w:val="28"/>
          <w:highlight w:val="none"/>
        </w:rPr>
        <w:t>参加会议人员：</w:t>
      </w:r>
    </w:p>
    <w:p>
      <w:pPr>
        <w:spacing w:line="360" w:lineRule="auto"/>
        <w:ind w:firstLine="420" w:firstLineChars="200"/>
        <w:rPr>
          <w:rFonts w:ascii="宋体" w:eastAsia="宋体" w:hAnsi="宋体" w:cs="仿宋"/>
          <w:color w:val="000000"/>
          <w:sz w:val="24"/>
          <w:szCs w:val="24"/>
          <w:highlight w:val="none"/>
        </w:rPr>
      </w:pPr>
      <w:r>
        <w:rPr>
          <w:rFonts w:ascii="宋体" w:eastAsia="宋体" w:hAnsi="宋体" w:cs="仿宋" w:hint="eastAsia"/>
          <w:color w:val="000000"/>
          <w:sz w:val="24"/>
          <w:szCs w:val="24"/>
          <w:highlight w:val="none"/>
        </w:rPr>
        <w:t>北海市通信发展管理办公室：袁海斌、钟子生、卢美英</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w:t>
      </w:r>
      <w:r>
        <w:rPr>
          <w:rFonts w:ascii="宋体" w:eastAsia="宋体" w:hAnsi="宋体" w:cs="Times New Roman"/>
          <w:sz w:val="24"/>
          <w:szCs w:val="24"/>
          <w:highlight w:val="none"/>
        </w:rPr>
        <w:t>工业和信息化局</w:t>
      </w:r>
      <w:r>
        <w:rPr>
          <w:rFonts w:ascii="宋体" w:eastAsia="宋体" w:hAnsi="宋体" w:cs="Times New Roman" w:hint="eastAsia"/>
          <w:sz w:val="24"/>
          <w:szCs w:val="24"/>
          <w:highlight w:val="none"/>
        </w:rPr>
        <w:t>：苏思惠</w:t>
      </w:r>
    </w:p>
    <w:p>
      <w:pPr>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北海市教育局：林乃东</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北海市公安局：高振林</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北海市民政局：郑年镇</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w:t>
      </w:r>
      <w:r>
        <w:rPr>
          <w:rFonts w:ascii="宋体" w:eastAsia="宋体" w:hAnsi="宋体" w:cs="Times New Roman"/>
          <w:sz w:val="24"/>
          <w:szCs w:val="24"/>
          <w:highlight w:val="none"/>
        </w:rPr>
        <w:t>自然资源局</w:t>
      </w:r>
      <w:r>
        <w:rPr>
          <w:rFonts w:ascii="宋体" w:eastAsia="宋体" w:hAnsi="宋体" w:cs="Times New Roman" w:hint="eastAsia"/>
          <w:sz w:val="24"/>
          <w:szCs w:val="24"/>
          <w:highlight w:val="none"/>
        </w:rPr>
        <w:t>：邓俊宇</w:t>
      </w:r>
    </w:p>
    <w:p>
      <w:pPr>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w:t>
      </w:r>
      <w:r>
        <w:rPr>
          <w:rFonts w:ascii="宋体" w:eastAsia="宋体" w:hAnsi="宋体" w:cs="Times New Roman"/>
          <w:sz w:val="24"/>
          <w:szCs w:val="24"/>
          <w:highlight w:val="none"/>
        </w:rPr>
        <w:t>住房和城乡建设局</w:t>
      </w:r>
      <w:r>
        <w:rPr>
          <w:rFonts w:ascii="宋体" w:eastAsia="宋体" w:hAnsi="宋体" w:cs="Times New Roman" w:hint="eastAsia"/>
          <w:sz w:val="24"/>
          <w:szCs w:val="24"/>
          <w:highlight w:val="none"/>
        </w:rPr>
        <w:t>：林洁</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北海市市场监督管理局：谢薇薇</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北海市旅游文体局：陈欢</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北海市交通运输局：张曦</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北海市乡村振兴和水库移民局：苏相伟</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北海市大数据发展局：洪基海</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铁山港人民政府:王常武</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中国电信股份有限公司北海分公司：施扬杰</w:t>
      </w:r>
    </w:p>
    <w:p>
      <w:pPr>
        <w:spacing w:line="360" w:lineRule="auto"/>
        <w:ind w:firstLine="420" w:firstLineChars="200"/>
        <w:rPr>
          <w:rFonts w:ascii="宋体" w:eastAsia="宋体" w:hAnsi="宋体" w:cs="仿宋"/>
          <w:color w:val="000000"/>
          <w:sz w:val="24"/>
          <w:szCs w:val="24"/>
          <w:highlight w:val="none"/>
        </w:rPr>
      </w:pPr>
      <w:r>
        <w:rPr>
          <w:rFonts w:ascii="宋体" w:eastAsia="宋体" w:hAnsi="宋体" w:cs="Times New Roman" w:hint="eastAsia"/>
          <w:sz w:val="24"/>
          <w:szCs w:val="24"/>
          <w:highlight w:val="none"/>
        </w:rPr>
        <w:t>中国移动通信集团广西有限公司北海分公司:牙尚</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中国联合网络通信有限公司北海市分公司：董润棋</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中国铁塔股份有限公司北海市分公司：黄浩</w:t>
      </w:r>
    </w:p>
    <w:p>
      <w:pPr>
        <w:spacing w:line="360" w:lineRule="auto"/>
        <w:ind w:firstLine="420" w:firstLineChars="200"/>
        <w:rPr>
          <w:rFonts w:ascii="宋体" w:eastAsia="宋体" w:hAnsi="宋体" w:cs="Times New Roman"/>
          <w:sz w:val="24"/>
          <w:szCs w:val="24"/>
          <w:highlight w:val="none"/>
        </w:rPr>
      </w:pPr>
      <w:r>
        <w:rPr>
          <w:rFonts w:ascii="宋体" w:eastAsia="宋体" w:hAnsi="宋体" w:cs="Times New Roman" w:hint="eastAsia"/>
          <w:sz w:val="24"/>
          <w:szCs w:val="24"/>
          <w:highlight w:val="none"/>
        </w:rPr>
        <w:t>广西广播电视信息网络股份有限公司北海市分公司：唐文波</w:t>
      </w:r>
    </w:p>
    <w:p>
      <w:pPr>
        <w:spacing w:line="360" w:lineRule="auto"/>
        <w:ind w:firstLine="420" w:firstLineChars="200"/>
        <w:rPr>
          <w:rFonts w:ascii="宋体" w:eastAsia="宋体" w:hAnsi="宋体" w:cs="宋体"/>
          <w:color w:val="000000"/>
          <w:kern w:val="0"/>
          <w:sz w:val="24"/>
          <w:szCs w:val="24"/>
          <w:highlight w:val="none"/>
        </w:rPr>
      </w:pPr>
      <w:r>
        <w:rPr>
          <w:rFonts w:ascii="宋体" w:eastAsia="宋体" w:hAnsi="宋体" w:cs="宋体" w:hint="eastAsia"/>
          <w:color w:val="000000"/>
          <w:kern w:val="0"/>
          <w:sz w:val="24"/>
          <w:szCs w:val="24"/>
          <w:highlight w:val="none"/>
        </w:rPr>
        <w:t>华蓝设计（集团）有限公司:梁思斯、黄克宁</w:t>
      </w:r>
    </w:p>
    <w:p>
      <w:pPr>
        <w:pStyle w:val="a4"/>
        <w:spacing w:line="500" w:lineRule="exact"/>
        <w:ind w:left="0" w:leftChars="0"/>
        <w:jc w:val="both"/>
        <w:outlineLvl w:val="1"/>
        <w:rPr>
          <w:highlight w:val="none"/>
        </w:rPr>
      </w:pPr>
    </w:p>
    <w:p>
      <w:pPr>
        <w:pStyle w:val="a4"/>
        <w:spacing w:line="500" w:lineRule="exact"/>
        <w:ind w:firstLine="1050" w:firstLineChars="500"/>
        <w:jc w:val="both"/>
        <w:outlineLvl w:val="1"/>
        <w:rPr>
          <w:highlight w:val="none"/>
        </w:rPr>
      </w:pPr>
      <w:bookmarkStart w:id="11" w:name="_Toc26729"/>
      <w:r>
        <w:rPr>
          <w:rFonts w:hint="eastAsia"/>
          <w:highlight w:val="none"/>
        </w:rPr>
        <w:t>《广西北海市（城区）5G通信基础设施专项规划</w:t>
      </w:r>
      <w:bookmarkEnd w:id="11"/>
    </w:p>
    <w:p>
      <w:pPr>
        <w:pStyle w:val="a4"/>
        <w:spacing w:line="500" w:lineRule="exact"/>
        <w:outlineLvl w:val="1"/>
        <w:rPr>
          <w:highlight w:val="none"/>
        </w:rPr>
      </w:pPr>
      <w:bookmarkStart w:id="12" w:name="_Toc25443"/>
      <w:r>
        <w:rPr>
          <w:rFonts w:hint="eastAsia"/>
          <w:highlight w:val="none"/>
          <w:lang w:eastAsia="zh-CN"/>
        </w:rPr>
        <w:t>（</w:t>
      </w:r>
      <w:r>
        <w:rPr>
          <w:rFonts w:hint="eastAsia"/>
          <w:highlight w:val="none"/>
        </w:rPr>
        <w:t>202</w:t>
      </w:r>
      <w:r>
        <w:rPr>
          <w:rFonts w:hint="eastAsia"/>
          <w:highlight w:val="none"/>
          <w:lang w:val="en-US" w:eastAsia="zh-CN"/>
        </w:rPr>
        <w:t>3</w:t>
      </w:r>
      <w:r>
        <w:rPr>
          <w:rFonts w:hint="eastAsia"/>
          <w:highlight w:val="none"/>
        </w:rPr>
        <w:t>-2030</w:t>
      </w:r>
      <w:r>
        <w:rPr>
          <w:rFonts w:hint="eastAsia"/>
          <w:highlight w:val="none"/>
          <w:lang w:val="en-US" w:eastAsia="zh-CN"/>
        </w:rPr>
        <w:t>年</w:t>
      </w:r>
      <w:r>
        <w:rPr>
          <w:rFonts w:hint="eastAsia"/>
          <w:highlight w:val="none"/>
          <w:lang w:eastAsia="zh-CN"/>
        </w:rPr>
        <w:t>）</w:t>
      </w:r>
      <w:r>
        <w:rPr>
          <w:rFonts w:hint="eastAsia"/>
          <w:highlight w:val="none"/>
        </w:rPr>
        <w:t>》专家评审意见及意见执行情况答复</w:t>
      </w:r>
      <w:bookmarkEnd w:id="12"/>
    </w:p>
    <w:p>
      <w:pPr>
        <w:pStyle w:val="BodyText"/>
        <w:rPr>
          <w:highlight w:val="none"/>
        </w:rPr>
      </w:pPr>
    </w:p>
    <w:p>
      <w:pPr>
        <w:pStyle w:val="HTMLPreformatted"/>
        <w:widowControl/>
        <w:spacing w:line="360" w:lineRule="auto"/>
        <w:ind w:firstLine="420" w:firstLineChars="200"/>
        <w:rPr>
          <w:rFonts w:cs="宋体" w:hint="default"/>
          <w:highlight w:val="none"/>
        </w:rPr>
      </w:pPr>
      <w:r>
        <w:rPr>
          <w:rFonts w:cs="宋体"/>
          <w:kern w:val="2"/>
          <w:highlight w:val="none"/>
        </w:rPr>
        <w:t>2024年1月25日，</w:t>
      </w:r>
      <w:r>
        <w:rPr>
          <w:rFonts w:cs="宋体"/>
          <w:highlight w:val="none"/>
        </w:rPr>
        <w:t>在北海移动公司一楼会议室组织召开广西北海市（城区）5G通信基础设施专项规划（2023-2030</w:t>
      </w:r>
      <w:r>
        <w:rPr>
          <w:rFonts w:cs="宋体" w:hint="eastAsia"/>
          <w:highlight w:val="none"/>
          <w:lang w:val="en-US" w:eastAsia="zh-CN"/>
        </w:rPr>
        <w:t>年</w:t>
      </w:r>
      <w:r>
        <w:rPr>
          <w:rFonts w:cs="宋体"/>
          <w:highlight w:val="none"/>
        </w:rPr>
        <w:t>）专家评审会。根据会上专家组及各部门和相关单位提出的修改意见，编制组对本次规划方案进行了相应的调整与修改，对专家组和各部门意见的执行情况答复如下表所示。</w:t>
      </w:r>
    </w:p>
    <w:p>
      <w:pPr>
        <w:numPr>
          <w:ilvl w:val="0"/>
          <w:numId w:val="4"/>
        </w:numPr>
        <w:spacing w:after="156" w:afterLines="50" w:line="500" w:lineRule="exact"/>
        <w:ind w:right="482" w:firstLine="420" w:firstLineChars="200"/>
        <w:rPr>
          <w:rFonts w:ascii="宋体" w:eastAsia="宋体" w:hAnsi="宋体" w:cs="宋体" w:hint="eastAsia"/>
          <w:b/>
          <w:bCs/>
          <w:sz w:val="24"/>
          <w:szCs w:val="24"/>
          <w:highlight w:val="none"/>
        </w:rPr>
      </w:pPr>
      <w:r>
        <w:rPr>
          <w:rFonts w:ascii="宋体" w:eastAsia="宋体" w:hAnsi="宋体" w:cs="宋体" w:hint="eastAsia"/>
          <w:b/>
          <w:bCs/>
          <w:sz w:val="24"/>
          <w:szCs w:val="24"/>
          <w:highlight w:val="none"/>
        </w:rPr>
        <w:t>各相关部门及相关单位意见执行情况答复</w:t>
      </w:r>
    </w:p>
    <w:p>
      <w:pPr>
        <w:pStyle w:val="FootnoteText"/>
        <w:widowControl w:val="0"/>
        <w:numPr>
          <w:ilvl w:val="0"/>
          <w:numId w:val="0"/>
        </w:numPr>
        <w:snapToGrid w:val="0"/>
        <w:jc w:val="left"/>
        <w:rPr>
          <w:highlight w:val="none"/>
        </w:rPr>
      </w:pPr>
    </w:p>
    <w:p>
      <w:pPr>
        <w:pStyle w:val="FootnoteText"/>
        <w:widowControl w:val="0"/>
        <w:numPr>
          <w:ilvl w:val="0"/>
          <w:numId w:val="0"/>
        </w:numPr>
        <w:snapToGrid w:val="0"/>
        <w:jc w:val="left"/>
        <w:rPr>
          <w:highlight w:val="none"/>
        </w:rPr>
      </w:pPr>
    </w:p>
    <w:tbl>
      <w:tblPr>
        <w:tblStyle w:val="TableNormal"/>
        <w:tblW w:w="1032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669"/>
        <w:gridCol w:w="2749"/>
        <w:gridCol w:w="3605"/>
        <w:gridCol w:w="3298"/>
      </w:tblGrid>
      <w:tr>
        <w:tblPrEx>
          <w:tblW w:w="1032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Ex>
        <w:trPr>
          <w:cantSplit/>
          <w:trHeight w:val="525"/>
          <w:tblHeader/>
        </w:trPr>
        <w:tc>
          <w:tcPr>
            <w:tcW w:w="669" w:type="dxa"/>
            <w:shd w:val="clear" w:color="auto" w:fill="E6E6E6"/>
            <w:vAlign w:val="center"/>
          </w:tcPr>
          <w:p>
            <w:pPr>
              <w:spacing w:before="156" w:beforeLines="50" w:after="156" w:afterLines="50" w:line="300" w:lineRule="auto"/>
              <w:jc w:val="center"/>
              <w:outlineLvl w:val="2"/>
              <w:rPr>
                <w:rFonts w:ascii="宋体" w:eastAsia="宋体" w:hAnsi="宋体" w:cs="宋体"/>
                <w:b/>
                <w:bCs/>
                <w:szCs w:val="21"/>
                <w:highlight w:val="none"/>
              </w:rPr>
            </w:pPr>
            <w:bookmarkStart w:id="13" w:name="_Toc8595"/>
            <w:bookmarkStart w:id="14" w:name="_Toc10457"/>
            <w:r>
              <w:rPr>
                <w:rFonts w:ascii="宋体" w:eastAsia="宋体" w:hAnsi="宋体" w:cs="宋体" w:hint="eastAsia"/>
                <w:b/>
                <w:bCs/>
                <w:szCs w:val="21"/>
                <w:highlight w:val="none"/>
              </w:rPr>
              <w:t>序号</w:t>
            </w:r>
            <w:bookmarkEnd w:id="13"/>
            <w:bookmarkEnd w:id="14"/>
          </w:p>
        </w:tc>
        <w:tc>
          <w:tcPr>
            <w:tcW w:w="2749"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意见来源</w:t>
            </w:r>
          </w:p>
        </w:tc>
        <w:tc>
          <w:tcPr>
            <w:tcW w:w="3605"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意见内容</w:t>
            </w:r>
          </w:p>
        </w:tc>
        <w:tc>
          <w:tcPr>
            <w:tcW w:w="3298" w:type="dxa"/>
            <w:shd w:val="clear" w:color="auto" w:fill="E6E6E6"/>
            <w:vAlign w:val="center"/>
          </w:tcPr>
          <w:p>
            <w:pPr>
              <w:spacing w:line="300" w:lineRule="auto"/>
              <w:jc w:val="center"/>
              <w:rPr>
                <w:rFonts w:ascii="宋体" w:eastAsia="宋体" w:hAnsi="宋体" w:cs="宋体"/>
                <w:b/>
                <w:bCs/>
                <w:szCs w:val="21"/>
                <w:highlight w:val="none"/>
              </w:rPr>
            </w:pPr>
            <w:r>
              <w:rPr>
                <w:rFonts w:ascii="宋体" w:eastAsia="宋体" w:hAnsi="宋体" w:cs="宋体" w:hint="eastAsia"/>
                <w:b/>
                <w:bCs/>
                <w:szCs w:val="21"/>
                <w:highlight w:val="none"/>
              </w:rPr>
              <w:t>意见执行情况</w:t>
            </w:r>
          </w:p>
        </w:tc>
      </w:tr>
      <w:tr>
        <w:tblPrEx>
          <w:tblW w:w="10321" w:type="dxa"/>
          <w:tblInd w:w="0" w:type="dxa"/>
          <w:tblLayout w:type="fixed"/>
          <w:tblCellMar>
            <w:top w:w="0" w:type="dxa"/>
            <w:left w:w="108" w:type="dxa"/>
            <w:bottom w:w="0" w:type="dxa"/>
            <w:right w:w="108" w:type="dxa"/>
          </w:tblCellMar>
        </w:tblPrEx>
        <w:trPr>
          <w:cantSplit/>
          <w:trHeight w:val="517"/>
        </w:trPr>
        <w:tc>
          <w:tcPr>
            <w:tcW w:w="669" w:type="dxa"/>
            <w:shd w:val="clear" w:color="auto" w:fill="E6E6E6"/>
            <w:vAlign w:val="center"/>
          </w:tcPr>
          <w:p>
            <w:pPr>
              <w:jc w:val="center"/>
              <w:rPr>
                <w:rFonts w:ascii="宋体" w:eastAsia="宋体" w:hAnsi="宋体" w:cs="宋体"/>
                <w:highlight w:val="none"/>
              </w:rPr>
            </w:pPr>
            <w:r>
              <w:rPr>
                <w:rFonts w:ascii="宋体" w:eastAsia="宋体" w:hAnsi="宋体" w:cs="宋体" w:hint="eastAsia"/>
                <w:highlight w:val="none"/>
              </w:rPr>
              <w:t>1</w:t>
            </w:r>
          </w:p>
        </w:tc>
        <w:tc>
          <w:tcPr>
            <w:tcW w:w="2749" w:type="dxa"/>
            <w:vAlign w:val="center"/>
          </w:tcPr>
          <w:p>
            <w:pPr>
              <w:pStyle w:val="NormalWeb"/>
              <w:rPr>
                <w:bCs/>
                <w:highlight w:val="none"/>
              </w:rPr>
            </w:pPr>
            <w:r>
              <w:rPr>
                <w:rFonts w:hint="eastAsia"/>
                <w:bCs/>
                <w:kern w:val="2"/>
                <w:sz w:val="21"/>
                <w:szCs w:val="22"/>
                <w:highlight w:val="none"/>
              </w:rPr>
              <w:t>北海市自然资源局</w:t>
            </w:r>
          </w:p>
        </w:tc>
        <w:tc>
          <w:tcPr>
            <w:tcW w:w="3605" w:type="dxa"/>
            <w:vAlign w:val="center"/>
          </w:tcPr>
          <w:p>
            <w:pPr>
              <w:spacing w:line="300" w:lineRule="auto"/>
              <w:rPr>
                <w:rFonts w:ascii="宋体" w:eastAsia="宋体" w:hAnsi="宋体" w:cs="宋体"/>
                <w:bCs/>
                <w:szCs w:val="21"/>
                <w:highlight w:val="none"/>
              </w:rPr>
            </w:pPr>
            <w:r>
              <w:rPr>
                <w:rFonts w:ascii="宋体" w:eastAsia="宋体" w:hAnsi="宋体" w:cs="宋体" w:hint="eastAsia"/>
                <w:bCs/>
                <w:szCs w:val="21"/>
                <w:highlight w:val="none"/>
              </w:rPr>
              <w:t>一、补充关于新建住宅区、商务楼宇通信配套设施设计指引。</w:t>
            </w:r>
          </w:p>
          <w:p>
            <w:pPr>
              <w:spacing w:line="300" w:lineRule="auto"/>
              <w:rPr>
                <w:rFonts w:ascii="宋体" w:eastAsia="宋体" w:hAnsi="宋体" w:cs="宋体"/>
                <w:bCs/>
                <w:highlight w:val="none"/>
              </w:rPr>
            </w:pPr>
            <w:r>
              <w:rPr>
                <w:rFonts w:ascii="宋体" w:eastAsia="宋体" w:hAnsi="宋体" w:cs="宋体" w:hint="eastAsia"/>
                <w:bCs/>
                <w:szCs w:val="21"/>
                <w:highlight w:val="none"/>
              </w:rPr>
              <w:t>二、补充国空中“一张图”系统相关内容。</w:t>
            </w:r>
          </w:p>
        </w:tc>
        <w:tc>
          <w:tcPr>
            <w:tcW w:w="3298" w:type="dxa"/>
            <w:vAlign w:val="center"/>
          </w:tcPr>
          <w:p>
            <w:pPr>
              <w:numPr>
                <w:ilvl w:val="0"/>
                <w:numId w:val="5"/>
              </w:numPr>
              <w:spacing w:line="300" w:lineRule="auto"/>
              <w:rPr>
                <w:rFonts w:ascii="宋体" w:eastAsia="宋体" w:hAnsi="宋体" w:cs="宋体"/>
                <w:szCs w:val="21"/>
                <w:highlight w:val="none"/>
              </w:rPr>
            </w:pPr>
            <w:r>
              <w:rPr>
                <w:rFonts w:ascii="宋体" w:eastAsia="宋体" w:hAnsi="宋体" w:cs="宋体" w:hint="eastAsia"/>
                <w:szCs w:val="21"/>
                <w:highlight w:val="none"/>
              </w:rPr>
              <w:t>采纳，已根据意见补充，详见第29页“各场景建设指引</w:t>
            </w:r>
            <w:r>
              <w:rPr>
                <w:rFonts w:ascii="宋体" w:eastAsia="宋体" w:hAnsi="宋体" w:cs="宋体"/>
                <w:szCs w:val="21"/>
                <w:highlight w:val="none"/>
              </w:rPr>
              <w:t>”</w:t>
            </w:r>
            <w:r>
              <w:rPr>
                <w:rFonts w:ascii="宋体" w:eastAsia="宋体" w:hAnsi="宋体" w:cs="宋体" w:hint="eastAsia"/>
                <w:szCs w:val="21"/>
                <w:highlight w:val="none"/>
              </w:rPr>
              <w:t>中第（三）和第（四）点内容。</w:t>
            </w:r>
          </w:p>
          <w:p>
            <w:pPr>
              <w:spacing w:line="300" w:lineRule="auto"/>
              <w:rPr>
                <w:rFonts w:ascii="宋体" w:eastAsia="宋体" w:hAnsi="宋体" w:cs="宋体"/>
                <w:szCs w:val="21"/>
                <w:highlight w:val="none"/>
              </w:rPr>
            </w:pPr>
            <w:r>
              <w:rPr>
                <w:rFonts w:ascii="宋体" w:eastAsia="宋体" w:hAnsi="宋体" w:cs="宋体" w:hint="eastAsia"/>
                <w:szCs w:val="21"/>
                <w:highlight w:val="none"/>
              </w:rPr>
              <w:t>二、采纳，已将5G基站规划站点等相关内容设计的矢量数据提供给市自然资源局相关科室进行上传系统进行核对，以最终补充到“一张图”系统中。</w:t>
            </w:r>
          </w:p>
        </w:tc>
      </w:tr>
      <w:tr>
        <w:tblPrEx>
          <w:tblW w:w="10321" w:type="dxa"/>
          <w:tblInd w:w="0" w:type="dxa"/>
          <w:tblLayout w:type="fixed"/>
          <w:tblCellMar>
            <w:top w:w="0" w:type="dxa"/>
            <w:left w:w="108" w:type="dxa"/>
            <w:bottom w:w="0" w:type="dxa"/>
            <w:right w:w="108" w:type="dxa"/>
          </w:tblCellMar>
        </w:tblPrEx>
        <w:trPr>
          <w:cantSplit/>
          <w:trHeight w:val="517"/>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2</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北海市通信发展管理办公室</w:t>
            </w:r>
          </w:p>
        </w:tc>
        <w:tc>
          <w:tcPr>
            <w:tcW w:w="3605" w:type="dxa"/>
            <w:vAlign w:val="center"/>
          </w:tcPr>
          <w:p>
            <w:pPr>
              <w:jc w:val="center"/>
              <w:rPr>
                <w:rFonts w:ascii="宋体" w:eastAsia="宋体" w:hAnsi="宋体" w:cs="宋体"/>
                <w:bCs/>
                <w:szCs w:val="21"/>
                <w:highlight w:val="none"/>
              </w:rPr>
            </w:pPr>
            <w:r>
              <w:rPr>
                <w:rFonts w:ascii="宋体" w:eastAsia="宋体" w:hAnsi="宋体" w:cs="宋体" w:hint="eastAsia"/>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515"/>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3</w:t>
            </w:r>
          </w:p>
        </w:tc>
        <w:tc>
          <w:tcPr>
            <w:tcW w:w="2749" w:type="dxa"/>
            <w:vAlign w:val="center"/>
          </w:tcPr>
          <w:p>
            <w:pPr>
              <w:jc w:val="left"/>
              <w:rPr>
                <w:rFonts w:ascii="宋体" w:eastAsia="宋体" w:hAnsi="宋体" w:cs="宋体"/>
                <w:bCs/>
                <w:highlight w:val="none"/>
              </w:rPr>
            </w:pPr>
            <w:r>
              <w:rPr>
                <w:rFonts w:ascii="宋体" w:eastAsia="宋体" w:hAnsi="宋体" w:cs="宋体" w:hint="eastAsia"/>
                <w:bCs/>
                <w:highlight w:val="none"/>
              </w:rPr>
              <w:t>北海市工业和信息化局</w:t>
            </w:r>
          </w:p>
        </w:tc>
        <w:tc>
          <w:tcPr>
            <w:tcW w:w="3605" w:type="dxa"/>
            <w:vAlign w:val="center"/>
          </w:tcPr>
          <w:p>
            <w:pPr>
              <w:jc w:val="center"/>
              <w:rPr>
                <w:rFonts w:ascii="宋体" w:eastAsia="宋体" w:hAnsi="宋体" w:cs="宋体"/>
                <w:bCs/>
                <w:highlight w:val="none"/>
              </w:rPr>
            </w:pPr>
            <w:r>
              <w:rPr>
                <w:rFonts w:ascii="宋体" w:eastAsia="宋体" w:hAnsi="宋体" w:cs="宋体" w:hint="eastAsia"/>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4</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北海市教育局</w:t>
            </w:r>
          </w:p>
        </w:tc>
        <w:tc>
          <w:tcPr>
            <w:tcW w:w="3605" w:type="dxa"/>
            <w:vAlign w:val="center"/>
          </w:tcPr>
          <w:p>
            <w:pPr>
              <w:jc w:val="center"/>
              <w:rPr>
                <w:rFonts w:ascii="宋体" w:eastAsia="宋体" w:hAnsi="宋体" w:cs="宋体"/>
                <w:bCs/>
                <w:szCs w:val="21"/>
                <w:highlight w:val="none"/>
              </w:rPr>
            </w:pPr>
            <w:r>
              <w:rPr>
                <w:rFonts w:ascii="宋体" w:eastAsia="宋体" w:hAnsi="宋体" w:cs="宋体" w:hint="eastAsia"/>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5</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北海市乡村振兴和水库移民工作局</w:t>
            </w:r>
          </w:p>
        </w:tc>
        <w:tc>
          <w:tcPr>
            <w:tcW w:w="3605" w:type="dxa"/>
            <w:vAlign w:val="center"/>
          </w:tcPr>
          <w:p>
            <w:pPr>
              <w:jc w:val="center"/>
              <w:rPr>
                <w:rFonts w:ascii="宋体" w:eastAsia="宋体" w:hAnsi="宋体" w:cs="宋体"/>
                <w:bCs/>
                <w:szCs w:val="21"/>
                <w:highlight w:val="none"/>
              </w:rPr>
            </w:pPr>
            <w:r>
              <w:rPr>
                <w:rFonts w:ascii="宋体" w:eastAsia="宋体" w:hAnsi="宋体" w:cs="宋体" w:hint="eastAsia"/>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6</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北海市民政局</w:t>
            </w:r>
          </w:p>
        </w:tc>
        <w:tc>
          <w:tcPr>
            <w:tcW w:w="3605" w:type="dxa"/>
            <w:vAlign w:val="center"/>
          </w:tcPr>
          <w:p>
            <w:pPr>
              <w:jc w:val="center"/>
              <w:rPr>
                <w:rFonts w:ascii="宋体" w:eastAsia="宋体" w:hAnsi="宋体" w:cs="宋体"/>
                <w:bCs/>
                <w:szCs w:val="21"/>
                <w:highlight w:val="none"/>
              </w:rPr>
            </w:pPr>
            <w:r>
              <w:rPr>
                <w:rFonts w:ascii="宋体" w:eastAsia="宋体" w:hAnsi="宋体" w:cs="宋体" w:hint="eastAsia"/>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7</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北海市铁山港区人民政府</w:t>
            </w:r>
          </w:p>
        </w:tc>
        <w:tc>
          <w:tcPr>
            <w:tcW w:w="3605" w:type="dxa"/>
            <w:vAlign w:val="center"/>
          </w:tcPr>
          <w:p>
            <w:pPr>
              <w:jc w:val="center"/>
              <w:rPr>
                <w:rFonts w:ascii="宋体" w:eastAsia="宋体" w:hAnsi="宋体" w:cs="宋体"/>
                <w:bCs/>
                <w:szCs w:val="21"/>
                <w:highlight w:val="none"/>
              </w:rPr>
            </w:pPr>
            <w:r>
              <w:rPr>
                <w:rFonts w:ascii="宋体" w:eastAsia="宋体" w:hAnsi="宋体" w:cs="宋体" w:hint="eastAsia"/>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8</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北海市交通运输局</w:t>
            </w:r>
          </w:p>
        </w:tc>
        <w:tc>
          <w:tcPr>
            <w:tcW w:w="3605" w:type="dxa"/>
            <w:vAlign w:val="center"/>
          </w:tcPr>
          <w:p>
            <w:pPr>
              <w:jc w:val="center"/>
              <w:rPr>
                <w:rFonts w:ascii="宋体" w:eastAsia="宋体" w:hAnsi="宋体" w:cs="宋体"/>
                <w:bCs/>
                <w:szCs w:val="21"/>
                <w:highlight w:val="none"/>
              </w:rPr>
            </w:pPr>
            <w:r>
              <w:rPr>
                <w:rFonts w:ascii="宋体" w:eastAsia="宋体" w:hAnsi="宋体" w:cs="宋体"/>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9</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北海市公安局</w:t>
            </w:r>
          </w:p>
        </w:tc>
        <w:tc>
          <w:tcPr>
            <w:tcW w:w="3605" w:type="dxa"/>
            <w:vAlign w:val="center"/>
          </w:tcPr>
          <w:p>
            <w:pPr>
              <w:jc w:val="center"/>
              <w:rPr>
                <w:rFonts w:ascii="宋体" w:eastAsia="宋体" w:hAnsi="宋体" w:cs="宋体"/>
                <w:bCs/>
                <w:szCs w:val="21"/>
                <w:highlight w:val="none"/>
              </w:rPr>
            </w:pPr>
            <w:r>
              <w:rPr>
                <w:rFonts w:ascii="宋体" w:eastAsia="宋体" w:hAnsi="宋体" w:cs="宋体"/>
                <w:bCs/>
                <w:highlight w:val="none"/>
              </w:rPr>
              <w:t>无修改意见</w:t>
            </w:r>
          </w:p>
        </w:tc>
        <w:tc>
          <w:tcPr>
            <w:tcW w:w="3298" w:type="dxa"/>
            <w:vAlign w:val="center"/>
          </w:tcPr>
          <w:p>
            <w:pPr>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szCs w:val="21"/>
                <w:highlight w:val="none"/>
              </w:rPr>
            </w:pPr>
            <w:r>
              <w:rPr>
                <w:rFonts w:ascii="宋体" w:eastAsia="宋体" w:hAnsi="宋体" w:cs="宋体" w:hint="eastAsia"/>
                <w:highlight w:val="none"/>
              </w:rPr>
              <w:t>10</w:t>
            </w:r>
          </w:p>
        </w:tc>
        <w:tc>
          <w:tcPr>
            <w:tcW w:w="2749" w:type="dxa"/>
            <w:vAlign w:val="center"/>
          </w:tcPr>
          <w:p>
            <w:pPr>
              <w:jc w:val="left"/>
              <w:rPr>
                <w:rFonts w:ascii="宋体" w:eastAsia="宋体" w:hAnsi="宋体" w:cs="宋体"/>
                <w:bCs/>
                <w:szCs w:val="21"/>
                <w:highlight w:val="none"/>
              </w:rPr>
            </w:pPr>
            <w:r>
              <w:rPr>
                <w:rFonts w:ascii="宋体" w:eastAsia="宋体" w:hAnsi="宋体" w:cs="宋体" w:hint="eastAsia"/>
                <w:bCs/>
                <w:highlight w:val="none"/>
              </w:rPr>
              <w:t>北海市住房和城乡建设局</w:t>
            </w:r>
          </w:p>
        </w:tc>
        <w:tc>
          <w:tcPr>
            <w:tcW w:w="3605" w:type="dxa"/>
            <w:vAlign w:val="center"/>
          </w:tcPr>
          <w:p>
            <w:pPr>
              <w:jc w:val="center"/>
              <w:rPr>
                <w:rFonts w:ascii="宋体" w:eastAsia="宋体" w:hAnsi="宋体" w:cs="宋体"/>
                <w:bCs/>
                <w:szCs w:val="21"/>
                <w:highlight w:val="none"/>
              </w:rPr>
            </w:pPr>
            <w:r>
              <w:rPr>
                <w:rFonts w:ascii="宋体" w:eastAsia="宋体" w:hAnsi="宋体" w:cs="宋体"/>
                <w:bCs/>
                <w:highlight w:val="none"/>
              </w:rPr>
              <w:t>无修改意见</w:t>
            </w:r>
          </w:p>
        </w:tc>
        <w:tc>
          <w:tcPr>
            <w:tcW w:w="3298" w:type="dxa"/>
            <w:vAlign w:val="center"/>
          </w:tcPr>
          <w:p>
            <w:pPr>
              <w:tabs>
                <w:tab w:val="left" w:pos="1280"/>
              </w:tabs>
              <w:jc w:val="center"/>
              <w:rPr>
                <w:rFonts w:ascii="宋体" w:eastAsia="宋体" w:hAnsi="宋体" w:cs="宋体"/>
                <w:szCs w:val="21"/>
                <w:highlight w:val="none"/>
              </w:rPr>
            </w:pPr>
            <w:r>
              <w:rPr>
                <w:rFonts w:ascii="宋体" w:eastAsia="宋体" w:hAnsi="宋体" w:cs="宋体" w:hint="eastAsia"/>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jc w:val="center"/>
              <w:rPr>
                <w:rFonts w:ascii="宋体" w:eastAsia="宋体" w:hAnsi="宋体" w:cs="宋体"/>
                <w:highlight w:val="none"/>
              </w:rPr>
            </w:pPr>
            <w:r>
              <w:rPr>
                <w:rFonts w:ascii="宋体" w:eastAsia="宋体" w:hAnsi="宋体" w:cs="宋体" w:hint="eastAsia"/>
                <w:highlight w:val="none"/>
              </w:rPr>
              <w:t>11</w:t>
            </w:r>
          </w:p>
        </w:tc>
        <w:tc>
          <w:tcPr>
            <w:tcW w:w="2749" w:type="dxa"/>
            <w:vAlign w:val="center"/>
          </w:tcPr>
          <w:p>
            <w:pPr>
              <w:jc w:val="left"/>
              <w:rPr>
                <w:rFonts w:ascii="宋体" w:eastAsia="宋体" w:hAnsi="宋体" w:cs="宋体"/>
                <w:bCs/>
                <w:highlight w:val="none"/>
              </w:rPr>
            </w:pPr>
            <w:r>
              <w:rPr>
                <w:rFonts w:ascii="宋体" w:eastAsia="宋体" w:hAnsi="宋体" w:cs="宋体" w:hint="eastAsia"/>
                <w:bCs/>
                <w:highlight w:val="none"/>
              </w:rPr>
              <w:t>北海市旅游文体局</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bCs/>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kern w:val="2"/>
                <w:sz w:val="21"/>
                <w:szCs w:val="22"/>
                <w:highlight w:val="none"/>
              </w:rPr>
            </w:pPr>
            <w:r>
              <w:rPr>
                <w:rFonts w:hint="eastAsia"/>
                <w:kern w:val="2"/>
                <w:sz w:val="21"/>
                <w:szCs w:val="22"/>
                <w:highlight w:val="none"/>
              </w:rPr>
              <w:t>12</w:t>
            </w:r>
          </w:p>
        </w:tc>
        <w:tc>
          <w:tcPr>
            <w:tcW w:w="2749" w:type="dxa"/>
            <w:vAlign w:val="center"/>
          </w:tcPr>
          <w:p>
            <w:pPr>
              <w:pStyle w:val="NormalWeb"/>
              <w:rPr>
                <w:bCs/>
                <w:kern w:val="2"/>
                <w:sz w:val="21"/>
                <w:szCs w:val="22"/>
                <w:highlight w:val="none"/>
              </w:rPr>
            </w:pPr>
            <w:r>
              <w:rPr>
                <w:rFonts w:hint="eastAsia"/>
                <w:bCs/>
                <w:kern w:val="2"/>
                <w:sz w:val="21"/>
                <w:szCs w:val="22"/>
                <w:highlight w:val="none"/>
              </w:rPr>
              <w:t>北海市市场监督管理局</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2"/>
                <w:highlight w:val="none"/>
              </w:rPr>
            </w:pPr>
            <w:r>
              <w:rPr>
                <w:rFonts w:hint="eastAsia"/>
                <w:bCs/>
                <w:kern w:val="2"/>
                <w:sz w:val="21"/>
                <w:szCs w:val="22"/>
                <w:highlight w:val="none"/>
              </w:rPr>
              <w:t>13</w:t>
            </w:r>
          </w:p>
        </w:tc>
        <w:tc>
          <w:tcPr>
            <w:tcW w:w="2749" w:type="dxa"/>
            <w:vAlign w:val="center"/>
          </w:tcPr>
          <w:p>
            <w:pPr>
              <w:pStyle w:val="NormalWeb"/>
              <w:rPr>
                <w:bCs/>
                <w:kern w:val="2"/>
                <w:sz w:val="21"/>
                <w:szCs w:val="22"/>
                <w:highlight w:val="none"/>
              </w:rPr>
            </w:pPr>
            <w:r>
              <w:rPr>
                <w:rFonts w:hint="eastAsia"/>
                <w:bCs/>
                <w:kern w:val="2"/>
                <w:sz w:val="21"/>
                <w:szCs w:val="22"/>
                <w:highlight w:val="none"/>
              </w:rPr>
              <w:t>北海市大数据发展局</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2"/>
                <w:highlight w:val="none"/>
              </w:rPr>
            </w:pPr>
            <w:r>
              <w:rPr>
                <w:rFonts w:hint="eastAsia"/>
                <w:bCs/>
                <w:kern w:val="2"/>
                <w:sz w:val="21"/>
                <w:szCs w:val="22"/>
                <w:highlight w:val="none"/>
              </w:rPr>
              <w:t>1</w:t>
            </w:r>
            <w:r>
              <w:rPr>
                <w:bCs/>
                <w:kern w:val="2"/>
                <w:sz w:val="21"/>
                <w:szCs w:val="22"/>
                <w:highlight w:val="none"/>
              </w:rPr>
              <w:t>4</w:t>
            </w:r>
          </w:p>
        </w:tc>
        <w:tc>
          <w:tcPr>
            <w:tcW w:w="2749" w:type="dxa"/>
            <w:vAlign w:val="center"/>
          </w:tcPr>
          <w:p>
            <w:pPr>
              <w:pStyle w:val="NormalWeb"/>
              <w:rPr>
                <w:bCs/>
                <w:kern w:val="2"/>
                <w:sz w:val="21"/>
                <w:szCs w:val="22"/>
                <w:highlight w:val="none"/>
              </w:rPr>
            </w:pPr>
            <w:r>
              <w:rPr>
                <w:rFonts w:hint="eastAsia"/>
                <w:bCs/>
                <w:kern w:val="2"/>
                <w:sz w:val="21"/>
                <w:szCs w:val="22"/>
                <w:highlight w:val="none"/>
              </w:rPr>
              <w:t>北海市</w:t>
            </w:r>
            <w:r>
              <w:rPr>
                <w:bCs/>
                <w:kern w:val="2"/>
                <w:sz w:val="21"/>
                <w:szCs w:val="22"/>
                <w:highlight w:val="none"/>
              </w:rPr>
              <w:t>卫生委员会</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2"/>
                <w:highlight w:val="none"/>
              </w:rPr>
            </w:pPr>
            <w:r>
              <w:rPr>
                <w:rFonts w:hint="eastAsia"/>
                <w:bCs/>
                <w:kern w:val="2"/>
                <w:sz w:val="21"/>
                <w:szCs w:val="22"/>
                <w:highlight w:val="none"/>
              </w:rPr>
              <w:t>1</w:t>
            </w:r>
            <w:r>
              <w:rPr>
                <w:bCs/>
                <w:kern w:val="2"/>
                <w:sz w:val="21"/>
                <w:szCs w:val="22"/>
                <w:highlight w:val="none"/>
              </w:rPr>
              <w:t>5</w:t>
            </w:r>
          </w:p>
        </w:tc>
        <w:tc>
          <w:tcPr>
            <w:tcW w:w="2749" w:type="dxa"/>
            <w:vAlign w:val="center"/>
          </w:tcPr>
          <w:p>
            <w:pPr>
              <w:pStyle w:val="NormalWeb"/>
              <w:rPr>
                <w:bCs/>
                <w:kern w:val="2"/>
                <w:sz w:val="21"/>
                <w:szCs w:val="22"/>
                <w:highlight w:val="none"/>
              </w:rPr>
            </w:pPr>
            <w:r>
              <w:rPr>
                <w:rFonts w:hint="eastAsia"/>
                <w:bCs/>
                <w:kern w:val="2"/>
                <w:sz w:val="21"/>
                <w:szCs w:val="22"/>
                <w:highlight w:val="none"/>
              </w:rPr>
              <w:t>中国电信股份有限公司北海分公司</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2"/>
                <w:highlight w:val="none"/>
              </w:rPr>
            </w:pPr>
            <w:r>
              <w:rPr>
                <w:rFonts w:hint="eastAsia"/>
                <w:bCs/>
                <w:kern w:val="2"/>
                <w:sz w:val="21"/>
                <w:szCs w:val="22"/>
                <w:highlight w:val="none"/>
              </w:rPr>
              <w:t>1</w:t>
            </w:r>
            <w:r>
              <w:rPr>
                <w:bCs/>
                <w:kern w:val="2"/>
                <w:sz w:val="21"/>
                <w:szCs w:val="22"/>
                <w:highlight w:val="none"/>
              </w:rPr>
              <w:t>6</w:t>
            </w:r>
          </w:p>
        </w:tc>
        <w:tc>
          <w:tcPr>
            <w:tcW w:w="2749" w:type="dxa"/>
            <w:vAlign w:val="center"/>
          </w:tcPr>
          <w:p>
            <w:pPr>
              <w:pStyle w:val="NormalWeb"/>
              <w:rPr>
                <w:bCs/>
                <w:kern w:val="2"/>
                <w:sz w:val="21"/>
                <w:szCs w:val="22"/>
                <w:highlight w:val="none"/>
              </w:rPr>
            </w:pPr>
            <w:r>
              <w:rPr>
                <w:rFonts w:hint="eastAsia"/>
                <w:bCs/>
                <w:kern w:val="2"/>
                <w:sz w:val="21"/>
                <w:szCs w:val="22"/>
                <w:highlight w:val="none"/>
              </w:rPr>
              <w:t>中国移动通信集团广西有限公司北海分公司</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2"/>
                <w:highlight w:val="none"/>
              </w:rPr>
            </w:pPr>
            <w:r>
              <w:rPr>
                <w:rFonts w:hint="eastAsia"/>
                <w:bCs/>
                <w:kern w:val="2"/>
                <w:sz w:val="21"/>
                <w:szCs w:val="22"/>
                <w:highlight w:val="none"/>
              </w:rPr>
              <w:t>1</w:t>
            </w:r>
            <w:r>
              <w:rPr>
                <w:bCs/>
                <w:kern w:val="2"/>
                <w:sz w:val="21"/>
                <w:szCs w:val="22"/>
                <w:highlight w:val="none"/>
              </w:rPr>
              <w:t>7</w:t>
            </w:r>
          </w:p>
        </w:tc>
        <w:tc>
          <w:tcPr>
            <w:tcW w:w="2749" w:type="dxa"/>
            <w:vAlign w:val="center"/>
          </w:tcPr>
          <w:p>
            <w:pPr>
              <w:pStyle w:val="NormalWeb"/>
              <w:rPr>
                <w:bCs/>
                <w:kern w:val="2"/>
                <w:sz w:val="21"/>
                <w:szCs w:val="22"/>
                <w:highlight w:val="none"/>
              </w:rPr>
            </w:pPr>
            <w:r>
              <w:rPr>
                <w:rFonts w:hint="eastAsia"/>
                <w:bCs/>
                <w:kern w:val="2"/>
                <w:sz w:val="21"/>
                <w:szCs w:val="22"/>
                <w:highlight w:val="none"/>
              </w:rPr>
              <w:t>中国联合网络通信有限公司北海市分公司</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2"/>
                <w:highlight w:val="none"/>
              </w:rPr>
            </w:pPr>
            <w:r>
              <w:rPr>
                <w:rFonts w:hint="eastAsia"/>
                <w:bCs/>
                <w:kern w:val="2"/>
                <w:sz w:val="21"/>
                <w:szCs w:val="22"/>
                <w:highlight w:val="none"/>
              </w:rPr>
              <w:t>1</w:t>
            </w:r>
            <w:r>
              <w:rPr>
                <w:bCs/>
                <w:kern w:val="2"/>
                <w:sz w:val="21"/>
                <w:szCs w:val="22"/>
                <w:highlight w:val="none"/>
              </w:rPr>
              <w:t>8</w:t>
            </w:r>
          </w:p>
        </w:tc>
        <w:tc>
          <w:tcPr>
            <w:tcW w:w="2749" w:type="dxa"/>
            <w:vAlign w:val="center"/>
          </w:tcPr>
          <w:p>
            <w:pPr>
              <w:pStyle w:val="NormalWeb"/>
              <w:rPr>
                <w:bCs/>
                <w:kern w:val="2"/>
                <w:sz w:val="21"/>
                <w:szCs w:val="22"/>
                <w:highlight w:val="none"/>
              </w:rPr>
            </w:pPr>
            <w:r>
              <w:rPr>
                <w:rFonts w:hint="eastAsia"/>
                <w:bCs/>
                <w:kern w:val="2"/>
                <w:sz w:val="21"/>
                <w:szCs w:val="22"/>
                <w:highlight w:val="none"/>
              </w:rPr>
              <w:t>中国铁塔股份有限公司北海市分公司</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bCs/>
                <w:kern w:val="2"/>
                <w:sz w:val="21"/>
                <w:szCs w:val="22"/>
                <w:highlight w:val="none"/>
              </w:rPr>
            </w:pPr>
            <w:r>
              <w:rPr>
                <w:rFonts w:hint="eastAsia"/>
                <w:kern w:val="2"/>
                <w:sz w:val="21"/>
                <w:szCs w:val="22"/>
                <w:highlight w:val="none"/>
              </w:rPr>
              <w:t>——</w:t>
            </w:r>
          </w:p>
        </w:tc>
      </w:tr>
      <w:tr>
        <w:tblPrEx>
          <w:tblW w:w="10321" w:type="dxa"/>
          <w:tblInd w:w="0" w:type="dxa"/>
          <w:tblLayout w:type="fixed"/>
          <w:tblCellMar>
            <w:top w:w="0" w:type="dxa"/>
            <w:left w:w="108" w:type="dxa"/>
            <w:bottom w:w="0" w:type="dxa"/>
            <w:right w:w="108" w:type="dxa"/>
          </w:tblCellMar>
        </w:tblPrEx>
        <w:trPr>
          <w:cantSplit/>
          <w:trHeight w:val="443"/>
        </w:trPr>
        <w:tc>
          <w:tcPr>
            <w:tcW w:w="669" w:type="dxa"/>
            <w:shd w:val="clear" w:color="auto" w:fill="E6E6E6"/>
            <w:vAlign w:val="center"/>
          </w:tcPr>
          <w:p>
            <w:pPr>
              <w:pStyle w:val="NormalWeb"/>
              <w:jc w:val="center"/>
              <w:rPr>
                <w:bCs/>
                <w:kern w:val="2"/>
                <w:sz w:val="21"/>
                <w:szCs w:val="22"/>
                <w:highlight w:val="none"/>
              </w:rPr>
            </w:pPr>
            <w:r>
              <w:rPr>
                <w:rFonts w:hint="eastAsia"/>
                <w:bCs/>
                <w:kern w:val="2"/>
                <w:sz w:val="21"/>
                <w:szCs w:val="22"/>
                <w:highlight w:val="none"/>
              </w:rPr>
              <w:t>1</w:t>
            </w:r>
            <w:r>
              <w:rPr>
                <w:bCs/>
                <w:kern w:val="2"/>
                <w:sz w:val="21"/>
                <w:szCs w:val="22"/>
                <w:highlight w:val="none"/>
              </w:rPr>
              <w:t>9</w:t>
            </w:r>
          </w:p>
        </w:tc>
        <w:tc>
          <w:tcPr>
            <w:tcW w:w="2749" w:type="dxa"/>
            <w:vAlign w:val="center"/>
          </w:tcPr>
          <w:p>
            <w:pPr>
              <w:pStyle w:val="NormalWeb"/>
              <w:rPr>
                <w:bCs/>
                <w:kern w:val="2"/>
                <w:sz w:val="21"/>
                <w:szCs w:val="22"/>
                <w:highlight w:val="none"/>
              </w:rPr>
            </w:pPr>
            <w:r>
              <w:rPr>
                <w:rFonts w:hint="eastAsia"/>
                <w:bCs/>
                <w:kern w:val="2"/>
                <w:sz w:val="21"/>
                <w:szCs w:val="22"/>
                <w:highlight w:val="none"/>
              </w:rPr>
              <w:t>广西广播电视信息网络股份有限公司北海市分公司</w:t>
            </w:r>
          </w:p>
        </w:tc>
        <w:tc>
          <w:tcPr>
            <w:tcW w:w="3605" w:type="dxa"/>
            <w:vAlign w:val="center"/>
          </w:tcPr>
          <w:p>
            <w:pPr>
              <w:pStyle w:val="NormalWeb"/>
              <w:jc w:val="center"/>
              <w:rPr>
                <w:bCs/>
                <w:kern w:val="2"/>
                <w:sz w:val="21"/>
                <w:szCs w:val="22"/>
                <w:highlight w:val="none"/>
              </w:rPr>
            </w:pPr>
            <w:r>
              <w:rPr>
                <w:rFonts w:hint="eastAsia"/>
                <w:bCs/>
                <w:kern w:val="2"/>
                <w:sz w:val="21"/>
                <w:szCs w:val="22"/>
                <w:highlight w:val="none"/>
              </w:rPr>
              <w:t>无修改意见</w:t>
            </w:r>
          </w:p>
        </w:tc>
        <w:tc>
          <w:tcPr>
            <w:tcW w:w="3298" w:type="dxa"/>
            <w:vAlign w:val="center"/>
          </w:tcPr>
          <w:p>
            <w:pPr>
              <w:pStyle w:val="NormalWeb"/>
              <w:jc w:val="center"/>
              <w:rPr>
                <w:kern w:val="2"/>
                <w:sz w:val="21"/>
                <w:szCs w:val="22"/>
                <w:highlight w:val="none"/>
              </w:rPr>
            </w:pPr>
            <w:r>
              <w:rPr>
                <w:rFonts w:hint="eastAsia"/>
                <w:kern w:val="2"/>
                <w:sz w:val="21"/>
                <w:szCs w:val="22"/>
                <w:highlight w:val="none"/>
              </w:rPr>
              <w:t>——</w:t>
            </w:r>
          </w:p>
        </w:tc>
      </w:tr>
    </w:tbl>
    <w:p>
      <w:pPr>
        <w:spacing w:before="156" w:beforeLines="50" w:line="500" w:lineRule="exact"/>
        <w:ind w:right="482" w:firstLine="420" w:firstLineChars="200"/>
        <w:rPr>
          <w:rFonts w:ascii="宋体" w:eastAsia="宋体" w:hAnsi="宋体" w:cs="宋体" w:hint="eastAsia"/>
          <w:b/>
          <w:bCs/>
          <w:sz w:val="24"/>
          <w:szCs w:val="24"/>
          <w:highlight w:val="none"/>
        </w:rPr>
      </w:pPr>
    </w:p>
    <w:p>
      <w:pPr>
        <w:spacing w:before="156" w:beforeLines="50" w:line="500" w:lineRule="exact"/>
        <w:ind w:right="482"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二、专家组意见执行情况答复</w:t>
      </w:r>
    </w:p>
    <w:tbl>
      <w:tblPr>
        <w:tblStyle w:val="TableNormal"/>
        <w:tblW w:w="10333"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187"/>
        <w:gridCol w:w="4850"/>
        <w:gridCol w:w="4296"/>
      </w:tblGrid>
      <w:tr>
        <w:tblPrEx>
          <w:tblW w:w="10333"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Ex>
        <w:trPr>
          <w:cantSplit/>
          <w:trHeight w:val="523"/>
          <w:tblHeader/>
        </w:trPr>
        <w:tc>
          <w:tcPr>
            <w:tcW w:w="1187" w:type="dxa"/>
            <w:shd w:val="clear" w:color="auto" w:fill="E6E6E6"/>
            <w:vAlign w:val="center"/>
          </w:tcPr>
          <w:p>
            <w:pPr>
              <w:jc w:val="center"/>
              <w:rPr>
                <w:rFonts w:ascii="宋体" w:eastAsia="宋体" w:hAnsi="宋体" w:cs="宋体"/>
                <w:b/>
                <w:bCs/>
                <w:color w:val="auto"/>
                <w:szCs w:val="21"/>
                <w:highlight w:val="none"/>
              </w:rPr>
            </w:pPr>
            <w:r>
              <w:rPr>
                <w:rFonts w:ascii="宋体" w:eastAsia="宋体" w:hAnsi="宋体" w:cs="宋体" w:hint="eastAsia"/>
                <w:b/>
                <w:bCs/>
                <w:color w:val="auto"/>
                <w:szCs w:val="21"/>
                <w:highlight w:val="none"/>
              </w:rPr>
              <w:t>意见来源</w:t>
            </w:r>
          </w:p>
        </w:tc>
        <w:tc>
          <w:tcPr>
            <w:tcW w:w="4850" w:type="dxa"/>
            <w:shd w:val="clear" w:color="auto" w:fill="E6E6E6"/>
            <w:vAlign w:val="center"/>
          </w:tcPr>
          <w:p>
            <w:pPr>
              <w:jc w:val="center"/>
              <w:rPr>
                <w:rFonts w:ascii="宋体" w:eastAsia="宋体" w:hAnsi="宋体" w:cs="宋体"/>
                <w:b/>
                <w:bCs/>
                <w:color w:val="auto"/>
                <w:szCs w:val="21"/>
                <w:highlight w:val="none"/>
              </w:rPr>
            </w:pPr>
            <w:r>
              <w:rPr>
                <w:rFonts w:ascii="宋体" w:eastAsia="宋体" w:hAnsi="宋体" w:cs="宋体" w:hint="eastAsia"/>
                <w:b/>
                <w:bCs/>
                <w:color w:val="auto"/>
                <w:szCs w:val="21"/>
                <w:highlight w:val="none"/>
              </w:rPr>
              <w:t>意见内容</w:t>
            </w:r>
          </w:p>
        </w:tc>
        <w:tc>
          <w:tcPr>
            <w:tcW w:w="4296" w:type="dxa"/>
            <w:shd w:val="clear" w:color="auto" w:fill="E6E6E6"/>
            <w:vAlign w:val="center"/>
          </w:tcPr>
          <w:p>
            <w:pPr>
              <w:jc w:val="center"/>
              <w:rPr>
                <w:rFonts w:ascii="宋体" w:eastAsia="宋体" w:hAnsi="宋体" w:cs="宋体"/>
                <w:b/>
                <w:bCs/>
                <w:color w:val="auto"/>
                <w:szCs w:val="21"/>
                <w:highlight w:val="none"/>
              </w:rPr>
            </w:pPr>
            <w:r>
              <w:rPr>
                <w:rFonts w:ascii="宋体" w:eastAsia="宋体" w:hAnsi="宋体" w:cs="宋体" w:hint="eastAsia"/>
                <w:b/>
                <w:bCs/>
                <w:color w:val="auto"/>
                <w:szCs w:val="21"/>
                <w:highlight w:val="none"/>
              </w:rPr>
              <w:t>意见执行情况</w:t>
            </w:r>
          </w:p>
        </w:tc>
      </w:tr>
      <w:tr>
        <w:tblPrEx>
          <w:tblW w:w="10333" w:type="dxa"/>
          <w:tblInd w:w="-6" w:type="dxa"/>
          <w:tblLayout w:type="fixed"/>
          <w:tblCellMar>
            <w:top w:w="0" w:type="dxa"/>
            <w:left w:w="108" w:type="dxa"/>
            <w:bottom w:w="0" w:type="dxa"/>
            <w:right w:w="108" w:type="dxa"/>
          </w:tblCellMar>
        </w:tblPrEx>
        <w:trPr>
          <w:cantSplit/>
          <w:trHeight w:val="1922"/>
        </w:trPr>
        <w:tc>
          <w:tcPr>
            <w:tcW w:w="1187" w:type="dxa"/>
            <w:vMerge w:val="restart"/>
            <w:vAlign w:val="center"/>
          </w:tcPr>
          <w:p>
            <w:pP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r>
              <w:rPr>
                <w:rFonts w:ascii="宋体" w:eastAsia="宋体" w:hAnsi="宋体" w:cs="宋体" w:hint="eastAsia"/>
                <w:bCs/>
                <w:color w:val="auto"/>
                <w:szCs w:val="21"/>
                <w:highlight w:val="none"/>
              </w:rPr>
              <w:t>评审专家组</w:t>
            </w: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p>
            <w:pPr>
              <w:jc w:val="center"/>
              <w:rPr>
                <w:rFonts w:ascii="宋体" w:eastAsia="宋体" w:hAnsi="宋体" w:cs="宋体"/>
                <w:bCs/>
                <w:color w:val="auto"/>
                <w:szCs w:val="21"/>
                <w:highlight w:val="none"/>
              </w:rPr>
            </w:pPr>
          </w:p>
        </w:tc>
        <w:tc>
          <w:tcPr>
            <w:tcW w:w="4850" w:type="dxa"/>
            <w:vAlign w:val="center"/>
          </w:tcPr>
          <w:p>
            <w:pPr>
              <w:rPr>
                <w:rFonts w:ascii="宋体" w:eastAsia="宋体" w:hAnsi="宋体" w:cs="宋体"/>
                <w:bCs/>
                <w:color w:val="auto"/>
                <w:szCs w:val="21"/>
                <w:highlight w:val="none"/>
              </w:rPr>
            </w:pPr>
            <w:r>
              <w:rPr>
                <w:rFonts w:ascii="宋体" w:eastAsia="宋体" w:hAnsi="宋体" w:cs="宋体" w:hint="eastAsia"/>
                <w:bCs/>
                <w:color w:val="auto"/>
                <w:szCs w:val="21"/>
                <w:highlight w:val="none"/>
              </w:rPr>
              <w:t>1、充分论证网络覆盖率等规划目标的合理性。</w:t>
            </w:r>
          </w:p>
        </w:tc>
        <w:tc>
          <w:tcPr>
            <w:tcW w:w="4296" w:type="dxa"/>
            <w:vAlign w:val="center"/>
          </w:tcPr>
          <w:p>
            <w:pPr>
              <w:rPr>
                <w:rFonts w:ascii="宋体" w:eastAsia="宋体" w:hAnsi="宋体" w:cs="宋体"/>
                <w:color w:val="auto"/>
                <w:szCs w:val="21"/>
                <w:highlight w:val="none"/>
              </w:rPr>
            </w:pPr>
            <w:r>
              <w:rPr>
                <w:rFonts w:ascii="宋体" w:eastAsia="宋体" w:hAnsi="宋体" w:cs="宋体" w:hint="eastAsia"/>
                <w:color w:val="auto"/>
                <w:szCs w:val="21"/>
                <w:highlight w:val="none"/>
              </w:rPr>
              <w:t>1、采纳，已根据意见修改。依据《广西新型基础设施建设发展规划（2020-2025年）》，5G规划目标数据为“95%”，故文本中网络覆盖率等规划目标由原“应达到98%”调整为“超95%”更合理，详见文本第10页“九、规划结论”和第19页第五章中“发展目标”内容。</w:t>
            </w:r>
          </w:p>
        </w:tc>
      </w:tr>
      <w:tr>
        <w:tblPrEx>
          <w:tblW w:w="10333" w:type="dxa"/>
          <w:tblInd w:w="-6" w:type="dxa"/>
          <w:tblLayout w:type="fixed"/>
          <w:tblCellMar>
            <w:top w:w="0" w:type="dxa"/>
            <w:left w:w="108" w:type="dxa"/>
            <w:bottom w:w="0" w:type="dxa"/>
            <w:right w:w="108" w:type="dxa"/>
          </w:tblCellMar>
        </w:tblPrEx>
        <w:trPr>
          <w:cantSplit/>
          <w:trHeight w:val="670"/>
        </w:trPr>
        <w:tc>
          <w:tcPr>
            <w:tcW w:w="1187" w:type="dxa"/>
            <w:vMerge/>
            <w:vAlign w:val="center"/>
          </w:tcPr>
          <w:p>
            <w:pPr>
              <w:rPr>
                <w:rFonts w:ascii="宋体" w:eastAsia="宋体" w:hAnsi="宋体" w:cs="宋体"/>
                <w:bCs/>
                <w:color w:val="auto"/>
                <w:szCs w:val="21"/>
                <w:highlight w:val="none"/>
              </w:rPr>
            </w:pPr>
          </w:p>
        </w:tc>
        <w:tc>
          <w:tcPr>
            <w:tcW w:w="4850" w:type="dxa"/>
            <w:vAlign w:val="center"/>
          </w:tcPr>
          <w:p>
            <w:pPr>
              <w:pStyle w:val="NormalWeb"/>
              <w:spacing w:before="0" w:beforeAutospacing="0" w:after="0" w:afterAutospacing="0"/>
              <w:jc w:val="both"/>
              <w:rPr>
                <w:bCs/>
                <w:color w:val="auto"/>
                <w:kern w:val="2"/>
                <w:sz w:val="21"/>
                <w:szCs w:val="21"/>
                <w:highlight w:val="none"/>
              </w:rPr>
            </w:pPr>
            <w:r>
              <w:rPr>
                <w:rFonts w:hint="eastAsia"/>
                <w:bCs/>
                <w:color w:val="auto"/>
                <w:kern w:val="2"/>
                <w:sz w:val="21"/>
                <w:szCs w:val="21"/>
                <w:highlight w:val="none"/>
              </w:rPr>
              <w:t>2、建议在规划设计中要考虑技术的迭代升级，从5G到6G的无缝衔接。</w:t>
            </w:r>
          </w:p>
        </w:tc>
        <w:tc>
          <w:tcPr>
            <w:tcW w:w="4296" w:type="dxa"/>
            <w:vAlign w:val="center"/>
          </w:tcPr>
          <w:p>
            <w:pPr>
              <w:rPr>
                <w:rFonts w:ascii="宋体" w:eastAsia="宋体" w:hAnsi="宋体" w:cs="宋体"/>
                <w:color w:val="auto"/>
                <w:szCs w:val="21"/>
                <w:highlight w:val="none"/>
              </w:rPr>
            </w:pPr>
            <w:r>
              <w:rPr>
                <w:rFonts w:ascii="宋体" w:eastAsia="宋体" w:hAnsi="宋体" w:cs="宋体" w:hint="eastAsia"/>
                <w:color w:val="auto"/>
                <w:szCs w:val="21"/>
                <w:highlight w:val="none"/>
              </w:rPr>
              <w:t>2、采纳，已根据意见修改。规划设计已考虑5G向下一代升级问题，对新设备迭代优选共址建设并部署于原有的机房中，在不影响基站布局的情况下，视具体情况尽量选择现有设施站址，后续只针对部分盲点做适当补充，以减少建设站址资源和周期，详见第21页第（三）“2、6G与5G相衔接”内容。</w:t>
            </w:r>
          </w:p>
        </w:tc>
      </w:tr>
      <w:tr>
        <w:tblPrEx>
          <w:tblW w:w="10333" w:type="dxa"/>
          <w:tblInd w:w="-6" w:type="dxa"/>
          <w:tblLayout w:type="fixed"/>
          <w:tblCellMar>
            <w:top w:w="0" w:type="dxa"/>
            <w:left w:w="108" w:type="dxa"/>
            <w:bottom w:w="0" w:type="dxa"/>
            <w:right w:w="108" w:type="dxa"/>
          </w:tblCellMar>
        </w:tblPrEx>
        <w:trPr>
          <w:cantSplit/>
          <w:trHeight w:val="555"/>
        </w:trPr>
        <w:tc>
          <w:tcPr>
            <w:tcW w:w="1187" w:type="dxa"/>
            <w:vMerge/>
            <w:vAlign w:val="center"/>
          </w:tcPr>
          <w:p>
            <w:pPr>
              <w:rPr>
                <w:rFonts w:ascii="宋体" w:eastAsia="宋体" w:hAnsi="宋体" w:cs="宋体"/>
                <w:bCs/>
                <w:color w:val="auto"/>
                <w:szCs w:val="21"/>
                <w:highlight w:val="none"/>
              </w:rPr>
            </w:pPr>
          </w:p>
        </w:tc>
        <w:tc>
          <w:tcPr>
            <w:tcW w:w="4850" w:type="dxa"/>
            <w:vAlign w:val="center"/>
          </w:tcPr>
          <w:p>
            <w:pPr>
              <w:rPr>
                <w:rFonts w:ascii="宋体" w:eastAsia="宋体" w:hAnsi="宋体" w:cs="宋体"/>
                <w:bCs/>
                <w:color w:val="auto"/>
                <w:szCs w:val="21"/>
                <w:highlight w:val="none"/>
              </w:rPr>
            </w:pPr>
            <w:r>
              <w:rPr>
                <w:rFonts w:ascii="宋体" w:eastAsia="宋体" w:hAnsi="宋体" w:cs="宋体" w:hint="eastAsia"/>
                <w:bCs/>
                <w:color w:val="auto"/>
                <w:szCs w:val="21"/>
                <w:highlight w:val="none"/>
              </w:rPr>
              <w:t>3、结合中央、自治区最新的政策文件要求，加强现状情况分析，重点分析现在存在的问题，并在规划中提出合理解决方案。</w:t>
            </w:r>
          </w:p>
        </w:tc>
        <w:tc>
          <w:tcPr>
            <w:tcW w:w="4296" w:type="dxa"/>
            <w:vAlign w:val="center"/>
          </w:tcPr>
          <w:p>
            <w:pPr>
              <w:rPr>
                <w:rFonts w:ascii="宋体" w:eastAsia="宋体" w:hAnsi="宋体" w:cs="宋体"/>
                <w:color w:val="auto"/>
                <w:szCs w:val="21"/>
                <w:highlight w:val="none"/>
              </w:rPr>
            </w:pPr>
            <w:r>
              <w:rPr>
                <w:rFonts w:ascii="宋体" w:eastAsia="宋体" w:hAnsi="宋体" w:cs="宋体" w:hint="eastAsia"/>
                <w:color w:val="auto"/>
                <w:szCs w:val="21"/>
                <w:highlight w:val="none"/>
              </w:rPr>
              <w:t>3、采纳，已根据意见修改。主要5G相关规划内容各电信企业已通过收集及现状调研得出了现状数据等相关内容，主要规划成果已充分结合了现状情况及相关规范和原则进行规划，详见第四章、第六章至第十章5G相关基础设施规划内容、建设明细表和规划图纸。</w:t>
            </w:r>
          </w:p>
        </w:tc>
      </w:tr>
      <w:tr>
        <w:tblPrEx>
          <w:tblW w:w="10333" w:type="dxa"/>
          <w:tblInd w:w="-6" w:type="dxa"/>
          <w:tblLayout w:type="fixed"/>
          <w:tblCellMar>
            <w:top w:w="0" w:type="dxa"/>
            <w:left w:w="108" w:type="dxa"/>
            <w:bottom w:w="0" w:type="dxa"/>
            <w:right w:w="108" w:type="dxa"/>
          </w:tblCellMar>
        </w:tblPrEx>
        <w:trPr>
          <w:cantSplit/>
          <w:trHeight w:val="555"/>
        </w:trPr>
        <w:tc>
          <w:tcPr>
            <w:tcW w:w="1187" w:type="dxa"/>
            <w:vMerge/>
            <w:vAlign w:val="center"/>
          </w:tcPr>
          <w:p>
            <w:pPr>
              <w:rPr>
                <w:rFonts w:ascii="宋体" w:eastAsia="宋体" w:hAnsi="宋体" w:cs="宋体"/>
                <w:bCs/>
                <w:color w:val="auto"/>
                <w:szCs w:val="21"/>
                <w:highlight w:val="none"/>
              </w:rPr>
            </w:pPr>
          </w:p>
        </w:tc>
        <w:tc>
          <w:tcPr>
            <w:tcW w:w="4850" w:type="dxa"/>
            <w:vAlign w:val="center"/>
          </w:tcPr>
          <w:p>
            <w:pPr>
              <w:pStyle w:val="NormalWeb"/>
              <w:spacing w:before="0" w:beforeAutospacing="0" w:after="0" w:afterAutospacing="0"/>
              <w:rPr>
                <w:bCs/>
                <w:color w:val="auto"/>
                <w:kern w:val="2"/>
                <w:sz w:val="21"/>
                <w:szCs w:val="21"/>
                <w:highlight w:val="none"/>
              </w:rPr>
            </w:pPr>
            <w:r>
              <w:rPr>
                <w:rFonts w:hint="eastAsia"/>
                <w:bCs/>
                <w:color w:val="auto"/>
                <w:kern w:val="2"/>
                <w:sz w:val="21"/>
                <w:szCs w:val="21"/>
                <w:highlight w:val="none"/>
              </w:rPr>
              <w:t>4、建议进一步加强与北海市国土空间总体规划和相关专项规划的衔接。</w:t>
            </w:r>
          </w:p>
        </w:tc>
        <w:tc>
          <w:tcPr>
            <w:tcW w:w="4296" w:type="dxa"/>
            <w:vAlign w:val="center"/>
          </w:tcPr>
          <w:p>
            <w:pPr>
              <w:rPr>
                <w:color w:val="auto"/>
                <w:szCs w:val="21"/>
                <w:highlight w:val="none"/>
              </w:rPr>
            </w:pPr>
            <w:r>
              <w:rPr>
                <w:rFonts w:ascii="宋体" w:eastAsia="宋体" w:hAnsi="宋体" w:cs="宋体" w:hint="eastAsia"/>
                <w:color w:val="auto"/>
                <w:szCs w:val="21"/>
                <w:highlight w:val="none"/>
              </w:rPr>
              <w:t>4、采纳，已根据意见修改。，5G规划已与《北海市国土空间总体规划（2021-2035年）》、《广西新型基础设施建设发展规划（2020-2025年）》等相关规划进行了衔接。详见文本规划图纸。</w:t>
            </w:r>
          </w:p>
        </w:tc>
      </w:tr>
      <w:tr>
        <w:tblPrEx>
          <w:tblW w:w="10333" w:type="dxa"/>
          <w:tblInd w:w="-6" w:type="dxa"/>
          <w:tblLayout w:type="fixed"/>
          <w:tblCellMar>
            <w:top w:w="0" w:type="dxa"/>
            <w:left w:w="108" w:type="dxa"/>
            <w:bottom w:w="0" w:type="dxa"/>
            <w:right w:w="108" w:type="dxa"/>
          </w:tblCellMar>
        </w:tblPrEx>
        <w:trPr>
          <w:cantSplit/>
          <w:trHeight w:val="555"/>
        </w:trPr>
        <w:tc>
          <w:tcPr>
            <w:tcW w:w="1187" w:type="dxa"/>
            <w:vMerge/>
            <w:vAlign w:val="center"/>
          </w:tcPr>
          <w:p>
            <w:pPr>
              <w:rPr>
                <w:rFonts w:ascii="宋体" w:eastAsia="宋体" w:hAnsi="宋体" w:cs="宋体"/>
                <w:bCs/>
                <w:color w:val="auto"/>
                <w:szCs w:val="21"/>
                <w:highlight w:val="none"/>
              </w:rPr>
            </w:pPr>
          </w:p>
        </w:tc>
        <w:tc>
          <w:tcPr>
            <w:tcW w:w="4850" w:type="dxa"/>
            <w:vAlign w:val="center"/>
          </w:tcPr>
          <w:p>
            <w:pPr>
              <w:rPr>
                <w:rFonts w:ascii="宋体" w:eastAsia="宋体" w:hAnsi="宋体" w:cs="宋体"/>
                <w:bCs/>
                <w:color w:val="auto"/>
                <w:szCs w:val="21"/>
                <w:highlight w:val="none"/>
              </w:rPr>
            </w:pPr>
            <w:r>
              <w:rPr>
                <w:rFonts w:ascii="宋体" w:eastAsia="宋体" w:hAnsi="宋体" w:cs="宋体" w:hint="eastAsia"/>
                <w:bCs/>
                <w:color w:val="auto"/>
                <w:szCs w:val="21"/>
                <w:highlight w:val="none"/>
              </w:rPr>
              <w:t>5、进一步补充说明与历史文化保护等相关领域项目的衔接和统筹，提出相应措施或方案。</w:t>
            </w:r>
          </w:p>
        </w:tc>
        <w:tc>
          <w:tcPr>
            <w:tcW w:w="4296" w:type="dxa"/>
            <w:vAlign w:val="center"/>
          </w:tcPr>
          <w:p>
            <w:pPr>
              <w:rPr>
                <w:rFonts w:ascii="宋体" w:eastAsia="宋体" w:hAnsi="宋体" w:cs="宋体"/>
                <w:color w:val="auto"/>
                <w:szCs w:val="21"/>
                <w:highlight w:val="none"/>
              </w:rPr>
            </w:pPr>
            <w:r>
              <w:rPr>
                <w:rFonts w:ascii="宋体" w:eastAsia="宋体" w:hAnsi="宋体" w:cs="宋体" w:hint="eastAsia"/>
                <w:color w:val="auto"/>
                <w:szCs w:val="21"/>
                <w:highlight w:val="none"/>
              </w:rPr>
              <w:t>5、采纳，已根据意见修改。详见第25页第（五）“基站选址与重点区域的安全距离”相关内容。</w:t>
            </w:r>
          </w:p>
        </w:tc>
      </w:tr>
      <w:tr>
        <w:tblPrEx>
          <w:tblW w:w="10333" w:type="dxa"/>
          <w:tblInd w:w="-6" w:type="dxa"/>
          <w:tblLayout w:type="fixed"/>
          <w:tblCellMar>
            <w:top w:w="0" w:type="dxa"/>
            <w:left w:w="108" w:type="dxa"/>
            <w:bottom w:w="0" w:type="dxa"/>
            <w:right w:w="108" w:type="dxa"/>
          </w:tblCellMar>
        </w:tblPrEx>
        <w:trPr>
          <w:cantSplit/>
          <w:trHeight w:val="638"/>
        </w:trPr>
        <w:tc>
          <w:tcPr>
            <w:tcW w:w="1187" w:type="dxa"/>
            <w:vMerge/>
            <w:vAlign w:val="center"/>
          </w:tcPr>
          <w:p>
            <w:pPr>
              <w:rPr>
                <w:rFonts w:ascii="宋体" w:eastAsia="宋体" w:hAnsi="宋体" w:cs="宋体"/>
                <w:bCs/>
                <w:color w:val="auto"/>
                <w:szCs w:val="21"/>
                <w:highlight w:val="none"/>
              </w:rPr>
            </w:pPr>
          </w:p>
        </w:tc>
        <w:tc>
          <w:tcPr>
            <w:tcW w:w="4850" w:type="dxa"/>
            <w:vAlign w:val="center"/>
          </w:tcPr>
          <w:p>
            <w:pPr>
              <w:rPr>
                <w:rFonts w:ascii="宋体" w:eastAsia="宋体" w:hAnsi="宋体" w:cs="宋体"/>
                <w:bCs/>
                <w:color w:val="auto"/>
                <w:szCs w:val="21"/>
                <w:highlight w:val="none"/>
              </w:rPr>
            </w:pPr>
            <w:r>
              <w:rPr>
                <w:rFonts w:ascii="宋体" w:eastAsia="宋体" w:hAnsi="宋体" w:cs="宋体" w:hint="eastAsia"/>
                <w:bCs/>
                <w:color w:val="auto"/>
                <w:szCs w:val="21"/>
                <w:highlight w:val="none"/>
              </w:rPr>
              <w:t>6、建议针对热点景区、高校、商圈、交通枢纽等人流密集区域，补充规划方案在容量保障方面的考虑。</w:t>
            </w:r>
          </w:p>
        </w:tc>
        <w:tc>
          <w:tcPr>
            <w:tcW w:w="4296" w:type="dxa"/>
            <w:vAlign w:val="center"/>
          </w:tcPr>
          <w:p>
            <w:pPr>
              <w:rPr>
                <w:rFonts w:ascii="宋体" w:eastAsia="宋体" w:hAnsi="宋体" w:cs="宋体"/>
                <w:color w:val="auto"/>
                <w:szCs w:val="21"/>
                <w:highlight w:val="none"/>
              </w:rPr>
            </w:pPr>
            <w:r>
              <w:rPr>
                <w:rFonts w:ascii="宋体" w:eastAsia="宋体" w:hAnsi="宋体" w:cs="宋体" w:hint="eastAsia"/>
                <w:color w:val="auto"/>
                <w:szCs w:val="21"/>
                <w:highlight w:val="none"/>
              </w:rPr>
              <w:t>6、采纳</w:t>
            </w:r>
            <w:bookmarkStart w:id="15" w:name="_Toc442348580"/>
            <w:r>
              <w:rPr>
                <w:rFonts w:ascii="宋体" w:eastAsia="宋体" w:hAnsi="宋体" w:cs="宋体" w:hint="eastAsia"/>
                <w:color w:val="auto"/>
                <w:szCs w:val="21"/>
                <w:highlight w:val="none"/>
              </w:rPr>
              <w:t>。经复核，规划设计已考虑热点区域的站点密度，后续各运营商可结合业务发展需求及投资效益，合理选型、按需精准开展多频段扩容</w:t>
            </w:r>
            <w:bookmarkEnd w:id="15"/>
            <w:r>
              <w:rPr>
                <w:rFonts w:ascii="宋体" w:eastAsia="宋体" w:hAnsi="宋体" w:cs="宋体" w:hint="eastAsia"/>
                <w:color w:val="auto"/>
                <w:szCs w:val="21"/>
                <w:highlight w:val="none"/>
              </w:rPr>
              <w:t>，详见第六章节第</w:t>
            </w:r>
            <w:r>
              <w:rPr>
                <w:rFonts w:ascii="宋体" w:eastAsia="宋体" w:hAnsi="宋体" w:cs="宋体"/>
                <w:color w:val="auto"/>
                <w:szCs w:val="21"/>
                <w:highlight w:val="none"/>
              </w:rPr>
              <w:t>九点</w:t>
            </w:r>
            <w:r>
              <w:rPr>
                <w:rFonts w:ascii="宋体" w:eastAsia="宋体" w:hAnsi="宋体" w:cs="宋体" w:hint="eastAsia"/>
                <w:color w:val="auto"/>
                <w:szCs w:val="21"/>
                <w:highlight w:val="none"/>
              </w:rPr>
              <w:t>内容。</w:t>
            </w:r>
          </w:p>
        </w:tc>
      </w:tr>
    </w:tbl>
    <w:p>
      <w:pPr>
        <w:rPr>
          <w:rFonts w:cs="Times New Roman"/>
          <w:highlight w:val="none"/>
        </w:rPr>
      </w:pPr>
    </w:p>
    <w:p>
      <w:pPr>
        <w:spacing w:line="300" w:lineRule="auto"/>
        <w:jc w:val="center"/>
        <w:rPr>
          <w:rFonts w:cs="Times New Roman"/>
          <w:highlight w:val="none"/>
        </w:rPr>
      </w:pPr>
      <w:r>
        <w:rPr>
          <w:rFonts w:cs="Times New Roman" w:hint="eastAsia"/>
          <w:highlight w:val="none"/>
        </w:rPr>
        <w:t xml:space="preserve">                                                              华蓝设计（集团）有限公司</w:t>
      </w:r>
    </w:p>
    <w:p>
      <w:pPr>
        <w:spacing w:line="300" w:lineRule="auto"/>
        <w:ind w:firstLine="7560" w:firstLineChars="3600"/>
        <w:rPr>
          <w:rFonts w:cs="Times New Roman" w:hint="eastAsia"/>
          <w:highlight w:val="none"/>
        </w:rPr>
      </w:pPr>
      <w:r>
        <w:rPr>
          <w:rFonts w:cs="Times New Roman" w:hint="eastAsia"/>
          <w:highlight w:val="none"/>
        </w:rPr>
        <w:t>二〇二四年二月</w:t>
      </w:r>
    </w:p>
    <w:p>
      <w:pPr>
        <w:spacing w:line="300" w:lineRule="auto"/>
        <w:ind w:firstLine="7560" w:firstLineChars="3600"/>
        <w:rPr>
          <w:rFonts w:cs="Times New Roman" w:hint="eastAsia"/>
          <w:highlight w:val="none"/>
        </w:rPr>
      </w:pPr>
    </w:p>
    <w:p>
      <w:pPr>
        <w:pStyle w:val="a4"/>
        <w:spacing w:line="500" w:lineRule="exact"/>
        <w:ind w:firstLine="1050" w:firstLineChars="500"/>
        <w:jc w:val="both"/>
        <w:outlineLvl w:val="1"/>
        <w:rPr>
          <w:rFonts w:hint="eastAsia"/>
          <w:highlight w:val="none"/>
        </w:rPr>
      </w:pPr>
    </w:p>
    <w:p>
      <w:pPr>
        <w:pStyle w:val="a4"/>
        <w:spacing w:line="500" w:lineRule="exact"/>
        <w:ind w:firstLine="1050" w:firstLineChars="500"/>
        <w:jc w:val="both"/>
        <w:outlineLvl w:val="1"/>
      </w:pPr>
      <w:r>
        <w:rPr>
          <w:rFonts w:hint="eastAsia"/>
        </w:rPr>
        <w:t>《广西北海市（城区）5G通信基础设施专项规划</w:t>
      </w:r>
    </w:p>
    <w:p>
      <w:pPr>
        <w:pStyle w:val="a4"/>
        <w:spacing w:line="500" w:lineRule="exact"/>
        <w:outlineLvl w:val="1"/>
        <w:rPr>
          <w:rFonts w:eastAsia="黑体" w:hint="default"/>
          <w:lang w:val="en-US" w:eastAsia="zh-CN"/>
        </w:rPr>
      </w:pPr>
      <w:r>
        <w:rPr>
          <w:rFonts w:hint="eastAsia"/>
        </w:rPr>
        <w:t>2020-2030》</w:t>
      </w:r>
      <w:r>
        <w:rPr>
          <w:rFonts w:hint="eastAsia"/>
          <w:lang w:val="en-US" w:eastAsia="zh-CN"/>
        </w:rPr>
        <w:t>市国土空间规划审批委员会审议意见</w:t>
      </w:r>
    </w:p>
    <w:p>
      <w:pPr>
        <w:spacing w:line="300" w:lineRule="auto"/>
        <w:ind w:firstLine="7560" w:firstLineChars="3600"/>
        <w:rPr>
          <w:rFonts w:cs="Times New Roman" w:hint="eastAsia"/>
        </w:rPr>
      </w:pPr>
    </w:p>
    <w:p>
      <w:pPr>
        <w:pStyle w:val="HTMLPreformatted"/>
        <w:widowControl/>
        <w:spacing w:line="360" w:lineRule="auto"/>
        <w:ind w:firstLine="420" w:firstLineChars="200"/>
        <w:rPr>
          <w:rFonts w:cs="宋体"/>
          <w:highlight w:val="none"/>
        </w:rPr>
      </w:pPr>
      <w:r>
        <w:rPr>
          <w:rFonts w:cs="宋体" w:hint="eastAsia"/>
          <w:highlight w:val="none"/>
        </w:rPr>
        <w:t>2024年8月26日</w:t>
      </w:r>
      <w:r>
        <w:rPr>
          <w:rFonts w:cs="宋体" w:hint="eastAsia"/>
          <w:highlight w:val="none"/>
          <w:lang w:val="en-US" w:eastAsia="zh-CN"/>
        </w:rPr>
        <w:t>召开2024年第7次</w:t>
      </w:r>
      <w:r>
        <w:rPr>
          <w:rFonts w:cs="宋体" w:hint="eastAsia"/>
          <w:highlight w:val="none"/>
        </w:rPr>
        <w:t>市国土空间规划审批委员会</w:t>
      </w:r>
      <w:r>
        <w:rPr>
          <w:rFonts w:cs="宋体" w:hint="eastAsia"/>
          <w:highlight w:val="none"/>
          <w:lang w:eastAsia="zh-CN"/>
        </w:rPr>
        <w:t>，</w:t>
      </w:r>
      <w:r>
        <w:rPr>
          <w:rFonts w:cs="宋体" w:hint="eastAsia"/>
          <w:highlight w:val="none"/>
          <w:lang w:val="en-US" w:eastAsia="zh-CN"/>
        </w:rPr>
        <w:t>会上</w:t>
      </w:r>
      <w:r>
        <w:rPr>
          <w:rFonts w:cs="宋体" w:hint="eastAsia"/>
          <w:highlight w:val="none"/>
        </w:rPr>
        <w:t>研究通过《广西北海市（城区）5G通信基础设施专项规划2020-2030》，会上相关部门提出的意见也采纳。</w:t>
      </w:r>
      <w:r>
        <w:rPr>
          <w:rFonts w:cs="宋体"/>
          <w:highlight w:val="none"/>
        </w:rPr>
        <w:t>根据会上</w:t>
      </w:r>
      <w:r>
        <w:rPr>
          <w:rFonts w:cs="宋体" w:hint="eastAsia"/>
          <w:highlight w:val="none"/>
          <w:lang w:val="en-US" w:eastAsia="zh-CN"/>
        </w:rPr>
        <w:t>相关</w:t>
      </w:r>
      <w:r>
        <w:rPr>
          <w:rFonts w:cs="宋体"/>
          <w:highlight w:val="none"/>
        </w:rPr>
        <w:t>部门和相关单位提出的修改意见，编制组对本次规划方案进行了相应的调整与修改，意见的执行情况答复如下表所示。</w:t>
      </w:r>
    </w:p>
    <w:tbl>
      <w:tblPr>
        <w:tblStyle w:val="TableNormal"/>
        <w:tblW w:w="5095"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1950"/>
        <w:gridCol w:w="4433"/>
        <w:gridCol w:w="3846"/>
      </w:tblGrid>
      <w:tr>
        <w:tblPrEx>
          <w:tblW w:w="5095"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753"/>
          <w:tblHeader/>
        </w:trPr>
        <w:tc>
          <w:tcPr>
            <w:tcW w:w="1995" w:type="dxa"/>
            <w:tcBorders>
              <w:top w:val="single" w:sz="4" w:space="0" w:color="auto"/>
              <w:left w:val="single" w:sz="4" w:space="0" w:color="auto"/>
              <w:bottom w:val="single" w:sz="4" w:space="0" w:color="auto"/>
              <w:right w:val="single" w:sz="4" w:space="0" w:color="auto"/>
            </w:tcBorders>
            <w:shd w:val="pct10" w:color="auto" w:fill="auto"/>
            <w:noWrap w:val="0"/>
            <w:vAlign w:val="center"/>
          </w:tcPr>
          <w:p>
            <w:pPr>
              <w:widowControl/>
              <w:jc w:val="center"/>
              <w:textAlignment w:val="center"/>
              <w:rPr>
                <w:rFonts w:ascii="宋体" w:eastAsia="宋体" w:hAnsi="宋体" w:cs="宋体" w:hint="default"/>
                <w:b/>
                <w:bCs w:val="0"/>
                <w:sz w:val="21"/>
                <w:szCs w:val="21"/>
                <w:lang w:val="en-US" w:eastAsia="zh-CN"/>
              </w:rPr>
            </w:pPr>
            <w:r>
              <w:rPr>
                <w:rFonts w:ascii="宋体" w:eastAsia="宋体" w:hAnsi="宋体" w:cs="宋体" w:hint="eastAsia"/>
                <w:b/>
                <w:bCs w:val="0"/>
                <w:sz w:val="21"/>
                <w:szCs w:val="21"/>
                <w:lang w:val="en-US" w:eastAsia="zh-CN"/>
              </w:rPr>
              <w:t>单位</w:t>
            </w:r>
          </w:p>
        </w:tc>
        <w:tc>
          <w:tcPr>
            <w:tcW w:w="4533" w:type="dxa"/>
            <w:tcBorders>
              <w:top w:val="single" w:sz="4" w:space="0" w:color="auto"/>
              <w:left w:val="single" w:sz="4" w:space="0" w:color="auto"/>
              <w:bottom w:val="single" w:sz="4" w:space="0" w:color="auto"/>
              <w:right w:val="single" w:sz="4" w:space="0" w:color="auto"/>
            </w:tcBorders>
            <w:shd w:val="pct10" w:color="auto" w:fill="auto"/>
            <w:noWrap w:val="0"/>
            <w:vAlign w:val="center"/>
          </w:tcPr>
          <w:p>
            <w:pPr>
              <w:widowControl/>
              <w:jc w:val="center"/>
              <w:textAlignment w:val="center"/>
              <w:rPr>
                <w:rFonts w:ascii="宋体" w:eastAsia="宋体" w:hAnsi="宋体" w:cs="宋体" w:hint="eastAsia"/>
                <w:b/>
                <w:bCs w:val="0"/>
                <w:sz w:val="21"/>
                <w:szCs w:val="21"/>
                <w:lang w:eastAsia="zh-CN"/>
              </w:rPr>
            </w:pPr>
            <w:r>
              <w:rPr>
                <w:rFonts w:ascii="宋体" w:eastAsia="宋体" w:hAnsi="宋体" w:cs="宋体" w:hint="eastAsia"/>
                <w:b/>
                <w:bCs w:val="0"/>
                <w:sz w:val="21"/>
                <w:szCs w:val="21"/>
              </w:rPr>
              <w:t>意见</w:t>
            </w:r>
            <w:r>
              <w:rPr>
                <w:rFonts w:ascii="宋体" w:eastAsia="宋体" w:hAnsi="宋体" w:cs="宋体" w:hint="eastAsia"/>
                <w:b/>
                <w:bCs w:val="0"/>
                <w:sz w:val="21"/>
                <w:szCs w:val="21"/>
                <w:lang w:val="en-US" w:eastAsia="zh-CN"/>
              </w:rPr>
              <w:t>建议</w:t>
            </w:r>
          </w:p>
        </w:tc>
        <w:tc>
          <w:tcPr>
            <w:tcW w:w="3933" w:type="dxa"/>
            <w:tcBorders>
              <w:top w:val="single" w:sz="4" w:space="0" w:color="auto"/>
              <w:left w:val="single" w:sz="4" w:space="0" w:color="auto"/>
              <w:bottom w:val="single" w:sz="4" w:space="0" w:color="auto"/>
              <w:right w:val="single" w:sz="4" w:space="0" w:color="auto"/>
            </w:tcBorders>
            <w:shd w:val="pct10" w:color="auto" w:fill="auto"/>
            <w:noWrap w:val="0"/>
            <w:vAlign w:val="center"/>
          </w:tcPr>
          <w:p>
            <w:pPr>
              <w:widowControl/>
              <w:jc w:val="center"/>
              <w:textAlignment w:val="center"/>
              <w:rPr>
                <w:rFonts w:ascii="宋体" w:eastAsia="宋体" w:hAnsi="宋体" w:cs="宋体" w:hint="eastAsia"/>
                <w:b/>
                <w:bCs w:val="0"/>
                <w:sz w:val="21"/>
                <w:szCs w:val="21"/>
                <w:lang w:val="en-US" w:eastAsia="zh-CN"/>
              </w:rPr>
            </w:pPr>
            <w:r>
              <w:rPr>
                <w:rFonts w:ascii="宋体" w:eastAsia="宋体" w:hAnsi="宋体" w:cs="宋体" w:hint="eastAsia"/>
                <w:b/>
                <w:bCs w:val="0"/>
                <w:sz w:val="21"/>
                <w:szCs w:val="21"/>
                <w:lang w:val="en-US" w:eastAsia="zh-CN"/>
              </w:rPr>
              <w:t>修改情况</w:t>
            </w:r>
          </w:p>
        </w:tc>
      </w:tr>
      <w:tr>
        <w:tblPrEx>
          <w:tblW w:w="5095" w:type="pct"/>
          <w:tblInd w:w="0" w:type="dxa"/>
          <w:tblCellMar>
            <w:top w:w="0" w:type="dxa"/>
            <w:left w:w="108" w:type="dxa"/>
            <w:bottom w:w="0" w:type="dxa"/>
            <w:right w:w="108" w:type="dxa"/>
          </w:tblCellMar>
        </w:tblPrEx>
        <w:trPr>
          <w:cantSplit/>
          <w:trHeight w:val="753"/>
        </w:trPr>
        <w:tc>
          <w:tcPr>
            <w:tcW w:w="1995" w:type="dxa"/>
            <w:tcBorders>
              <w:top w:val="single" w:sz="4" w:space="0" w:color="auto"/>
              <w:left w:val="single" w:sz="4" w:space="0" w:color="auto"/>
              <w:bottom w:val="single" w:sz="4" w:space="0" w:color="auto"/>
              <w:right w:val="single" w:sz="4" w:space="0" w:color="auto"/>
            </w:tcBorders>
            <w:noWrap w:val="0"/>
            <w:vAlign w:val="center"/>
          </w:tcPr>
          <w:p>
            <w:pPr>
              <w:widowControl/>
              <w:jc w:val="center"/>
              <w:textAlignment w:val="center"/>
              <w:rPr>
                <w:rFonts w:ascii="宋体" w:eastAsia="宋体" w:hAnsi="宋体" w:cs="宋体" w:hint="eastAsia"/>
                <w:bCs/>
                <w:sz w:val="21"/>
                <w:szCs w:val="21"/>
                <w:lang w:val="en-US" w:eastAsia="zh-CN"/>
              </w:rPr>
            </w:pPr>
            <w:r>
              <w:rPr>
                <w:rFonts w:ascii="宋体" w:eastAsia="宋体" w:hAnsi="宋体" w:cs="宋体" w:hint="eastAsia"/>
                <w:bCs/>
                <w:sz w:val="21"/>
                <w:szCs w:val="21"/>
                <w:lang w:val="en-US" w:eastAsia="zh-CN"/>
              </w:rPr>
              <w:t>规委会</w:t>
            </w:r>
          </w:p>
        </w:tc>
        <w:tc>
          <w:tcPr>
            <w:tcW w:w="4533" w:type="dxa"/>
            <w:tcBorders>
              <w:top w:val="single" w:sz="4" w:space="0" w:color="auto"/>
              <w:left w:val="single" w:sz="4" w:space="0" w:color="auto"/>
              <w:bottom w:val="single" w:sz="4" w:space="0" w:color="auto"/>
              <w:right w:val="single" w:sz="4" w:space="0" w:color="auto"/>
            </w:tcBorders>
            <w:noWrap w:val="0"/>
            <w:vAlign w:val="center"/>
          </w:tcPr>
          <w:p>
            <w:pPr>
              <w:widowControl/>
              <w:textAlignment w:val="center"/>
              <w:rPr>
                <w:rFonts w:ascii="宋体" w:eastAsia="宋体" w:hAnsi="宋体" w:cs="宋体" w:hint="eastAsia"/>
                <w:bCs/>
                <w:sz w:val="21"/>
                <w:szCs w:val="21"/>
              </w:rPr>
            </w:pPr>
            <w:r>
              <w:rPr>
                <w:rFonts w:ascii="宋体" w:eastAsia="宋体" w:hAnsi="宋体" w:cs="宋体" w:hint="eastAsia"/>
                <w:bCs/>
                <w:sz w:val="21"/>
                <w:szCs w:val="21"/>
                <w:lang w:val="en-US" w:eastAsia="zh-CN"/>
              </w:rPr>
              <w:t>一、</w:t>
            </w:r>
            <w:r>
              <w:rPr>
                <w:rFonts w:ascii="宋体" w:eastAsia="宋体" w:hAnsi="宋体" w:cs="宋体" w:hint="eastAsia"/>
                <w:bCs/>
                <w:sz w:val="21"/>
                <w:szCs w:val="21"/>
              </w:rPr>
              <w:t>规划要进一步深化完善5G通信设施与低空经济之间的关联关系表述；</w:t>
            </w:r>
            <w:r>
              <w:rPr>
                <w:rFonts w:ascii="宋体" w:eastAsia="宋体" w:hAnsi="宋体" w:cs="宋体" w:hint="eastAsia"/>
                <w:bCs/>
                <w:sz w:val="21"/>
                <w:szCs w:val="21"/>
                <w:lang w:val="en-US" w:eastAsia="zh-CN"/>
              </w:rPr>
              <w:t>二、</w:t>
            </w:r>
            <w:r>
              <w:rPr>
                <w:rFonts w:ascii="宋体" w:eastAsia="宋体" w:hAnsi="宋体" w:cs="宋体" w:hint="eastAsia"/>
                <w:bCs/>
                <w:sz w:val="21"/>
                <w:szCs w:val="21"/>
              </w:rPr>
              <w:t>深入研究新建通信设施与我市管辖海域的布局关系，参考其他沿海城市优化设施规划布点满足海洋通讯相关要求。</w:t>
            </w:r>
          </w:p>
        </w:tc>
        <w:tc>
          <w:tcPr>
            <w:tcW w:w="3933" w:type="dxa"/>
            <w:tcBorders>
              <w:top w:val="single" w:sz="4" w:space="0" w:color="auto"/>
              <w:left w:val="single" w:sz="4" w:space="0" w:color="auto"/>
              <w:bottom w:val="single" w:sz="4" w:space="0" w:color="auto"/>
              <w:right w:val="single" w:sz="4" w:space="0" w:color="auto"/>
            </w:tcBorders>
            <w:noWrap w:val="0"/>
            <w:vAlign w:val="center"/>
          </w:tcPr>
          <w:p>
            <w:pPr>
              <w:widowControl/>
              <w:textAlignment w:val="center"/>
              <w:rPr>
                <w:rFonts w:ascii="宋体" w:eastAsia="宋体" w:hAnsi="宋体" w:cs="宋体" w:hint="eastAsia"/>
                <w:bCs/>
                <w:sz w:val="21"/>
                <w:szCs w:val="21"/>
              </w:rPr>
            </w:pPr>
            <w:r>
              <w:rPr>
                <w:rFonts w:ascii="宋体" w:eastAsia="宋体" w:hAnsi="宋体" w:cs="宋体" w:hint="eastAsia"/>
                <w:bCs/>
                <w:sz w:val="21"/>
                <w:szCs w:val="21"/>
              </w:rPr>
              <w:t>一、已补充深沿海经济中的5G应用和低空经济中的5G应用。</w:t>
            </w:r>
          </w:p>
          <w:p>
            <w:pPr>
              <w:widowControl/>
              <w:textAlignment w:val="center"/>
              <w:rPr>
                <w:rFonts w:ascii="宋体" w:eastAsia="宋体" w:hAnsi="宋体" w:cs="宋体" w:hint="eastAsia"/>
                <w:bCs/>
                <w:sz w:val="21"/>
                <w:szCs w:val="21"/>
              </w:rPr>
            </w:pPr>
            <w:r>
              <w:rPr>
                <w:rFonts w:ascii="宋体" w:eastAsia="宋体" w:hAnsi="宋体" w:cs="宋体" w:hint="eastAsia"/>
                <w:bCs/>
                <w:sz w:val="21"/>
                <w:szCs w:val="21"/>
              </w:rPr>
              <w:t>二、广西北部湾海域已建5G基站322个，其中700M站点143个，2.6G站点179个，形成700M和2.6G双层立体组网。</w:t>
            </w:r>
          </w:p>
        </w:tc>
      </w:tr>
    </w:tbl>
    <w:p>
      <w:pPr>
        <w:pStyle w:val="HTMLPreformatted"/>
        <w:widowControl/>
        <w:spacing w:line="360" w:lineRule="auto"/>
        <w:ind w:firstLine="420" w:firstLineChars="200"/>
        <w:rPr>
          <w:rFonts w:cs="宋体" w:hint="default"/>
        </w:rPr>
      </w:pPr>
    </w:p>
    <w:p>
      <w:pPr>
        <w:spacing w:line="300" w:lineRule="auto"/>
        <w:ind w:firstLine="7560" w:firstLineChars="3600"/>
        <w:rPr>
          <w:rFonts w:cs="Times New Roman" w:hint="eastAsia"/>
        </w:rPr>
      </w:pPr>
    </w:p>
    <w:p>
      <w:pPr>
        <w:spacing w:line="300" w:lineRule="auto"/>
        <w:jc w:val="right"/>
        <w:rPr>
          <w:rFonts w:cs="Times New Roman" w:hint="eastAsia"/>
        </w:rPr>
      </w:pPr>
      <w:r>
        <w:rPr>
          <w:rFonts w:cs="Times New Roman" w:hint="eastAsia"/>
        </w:rPr>
        <w:t xml:space="preserve">  华蓝设计（集团）有限公司</w:t>
      </w:r>
    </w:p>
    <w:p>
      <w:pPr>
        <w:spacing w:line="300" w:lineRule="auto"/>
        <w:jc w:val="right"/>
        <w:rPr>
          <w:rFonts w:cs="Times New Roman" w:hint="eastAsia"/>
        </w:rPr>
      </w:pPr>
      <w:r>
        <w:rPr>
          <w:rFonts w:cs="Times New Roman" w:hint="eastAsia"/>
        </w:rPr>
        <w:t>二〇二四年</w:t>
      </w:r>
      <w:r>
        <w:rPr>
          <w:rFonts w:cs="Times New Roman" w:hint="eastAsia"/>
          <w:lang w:val="en-US" w:eastAsia="zh-CN"/>
        </w:rPr>
        <w:t>八</w:t>
      </w:r>
      <w:r>
        <w:rPr>
          <w:rFonts w:cs="Times New Roman" w:hint="eastAsia"/>
        </w:rPr>
        <w:t>月</w:t>
      </w: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FootnoteText"/>
        <w:rPr>
          <w:rFonts w:cs="Times New Roman" w:hint="eastAsia"/>
        </w:rPr>
      </w:pPr>
    </w:p>
    <w:p>
      <w:pPr>
        <w:pStyle w:val="Heading2"/>
        <w:keepNext/>
        <w:keepLines/>
        <w:spacing w:after="260" w:line="360" w:lineRule="auto"/>
        <w:ind w:left="0" w:firstLine="0" w:leftChars="0" w:firstLineChars="0"/>
        <w:jc w:val="left"/>
        <w:rPr>
          <w:rFonts w:ascii="宋体" w:eastAsia="宋体" w:hAnsi="宋体" w:cs="宋体"/>
          <w:sz w:val="32"/>
          <w:szCs w:val="32"/>
          <w:highlight w:val="none"/>
        </w:rPr>
      </w:pPr>
      <w:bookmarkStart w:id="16" w:name="_Toc14394"/>
      <w:r>
        <w:rPr>
          <w:rFonts w:ascii="宋体" w:eastAsia="宋体" w:hAnsi="宋体" w:cs="宋体" w:hint="eastAsia"/>
          <w:sz w:val="32"/>
          <w:szCs w:val="32"/>
          <w:highlight w:val="none"/>
        </w:rPr>
        <w:t>第一章 规划概述</w:t>
      </w:r>
      <w:bookmarkEnd w:id="16"/>
    </w:p>
    <w:p>
      <w:pPr>
        <w:pStyle w:val="Heading3"/>
        <w:keepNext w:val="0"/>
        <w:keepLines w:val="0"/>
        <w:spacing w:line="360" w:lineRule="auto"/>
        <w:rPr>
          <w:rFonts w:ascii="宋体" w:eastAsia="宋体" w:hAnsi="宋体" w:cs="宋体"/>
          <w:sz w:val="24"/>
          <w:szCs w:val="24"/>
          <w:highlight w:val="none"/>
        </w:rPr>
      </w:pPr>
      <w:bookmarkStart w:id="17" w:name="_Toc8698"/>
      <w:r>
        <w:rPr>
          <w:rFonts w:ascii="宋体" w:eastAsia="宋体" w:hAnsi="宋体" w:cs="宋体" w:hint="eastAsia"/>
          <w:sz w:val="28"/>
          <w:szCs w:val="28"/>
          <w:highlight w:val="none"/>
        </w:rPr>
        <w:t>一、规划背景</w:t>
      </w:r>
      <w:bookmarkEnd w:id="17"/>
      <w:r>
        <w:rPr>
          <w:rFonts w:ascii="宋体" w:eastAsia="宋体" w:hAnsi="宋体" w:cs="宋体" w:hint="eastAsia"/>
          <w:sz w:val="24"/>
          <w:szCs w:val="24"/>
          <w:highlight w:val="none"/>
        </w:rPr>
        <w:tab/>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2019年6月6日，工信部正式颁发了5G商用牌照，进一步加快我国5G网络建设和普及速度，广西各基础电信企业已经启动5G网络建设。为响应国家及自治区政府号召，落实管局工作部署，提前储备5G站址、局房、管道传输等通信基础设施资源，有效推进5G网络建设进度，我区5G通信基础设施规划编制工作已经开展。</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将通信基站、传输管线等通信基础设施纳入城市规划是城乡规划法、电信条例的基本要求，是落实“宽带中国”战略，构建下一代国家信息基础设施，全面推进信息化建设，促进信息消费的重要保障，是提升城市服务功能，提高城镇化发展质量的客观需要。但从目前情况看，5G无线通信基站、宽带网络设施等规划不完善，基站选址难、建设难等问题比较突出，“光纤到户”还面临诸多困难，农村通信基础设施建设还比较薄弱，制约信息通信网络快速发展和广西数字经济建设。</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highlight w:val="none"/>
        </w:rPr>
        <w:t>2021年11月1日，工信部发布了《“十四五”信息通信行业发展规划》（工信部规[2021]164号）文件，提出了发展重点：</w:t>
      </w:r>
      <w:r>
        <w:rPr>
          <w:rFonts w:ascii="宋体" w:eastAsia="宋体" w:hAnsi="宋体" w:cs="宋体"/>
          <w:sz w:val="24"/>
          <w:szCs w:val="24"/>
          <w:highlight w:val="none"/>
        </w:rPr>
        <w:t>加快推进“双千兆”网络建设，统筹数据中心布局，积极稳妥发展工业互联网和车联网，构建以技术创新为驱动、以新一代通信网络为基础、以数据和算力设施为核心、以融合基础设施为突破的新型数字基础设施体系</w:t>
      </w:r>
      <w:r>
        <w:rPr>
          <w:rFonts w:ascii="宋体" w:eastAsia="宋体" w:hAnsi="宋体" w:cs="宋体" w:hint="eastAsia"/>
          <w:sz w:val="24"/>
          <w:szCs w:val="24"/>
          <w:highlight w:val="none"/>
        </w:rPr>
        <w:t>。其中“</w:t>
      </w:r>
      <w:r>
        <w:rPr>
          <w:rFonts w:ascii="宋体" w:eastAsia="宋体" w:hAnsi="宋体" w:cs="宋体"/>
          <w:sz w:val="24"/>
          <w:szCs w:val="24"/>
          <w:highlight w:val="none"/>
        </w:rPr>
        <w:t>5G网络部署工程</w:t>
      </w:r>
      <w:r>
        <w:rPr>
          <w:rFonts w:ascii="宋体" w:eastAsia="宋体" w:hAnsi="宋体" w:cs="宋体" w:hint="eastAsia"/>
          <w:sz w:val="24"/>
          <w:szCs w:val="24"/>
          <w:highlight w:val="none"/>
        </w:rPr>
        <w:t>”专栏提到，深入推进5G共建共享，</w:t>
      </w:r>
      <w:r>
        <w:rPr>
          <w:rFonts w:ascii="宋体" w:eastAsia="宋体" w:hAnsi="宋体" w:cs="宋体"/>
          <w:sz w:val="24"/>
          <w:szCs w:val="24"/>
          <w:highlight w:val="none"/>
        </w:rPr>
        <w:t>按照</w:t>
      </w:r>
      <w:r>
        <w:rPr>
          <w:rFonts w:ascii="宋体" w:eastAsia="宋体" w:hAnsi="宋体" w:cs="宋体" w:hint="eastAsia"/>
          <w:sz w:val="24"/>
          <w:szCs w:val="24"/>
          <w:highlight w:val="none"/>
        </w:rPr>
        <w:t>“</w:t>
      </w:r>
      <w:r>
        <w:rPr>
          <w:rFonts w:ascii="宋体" w:eastAsia="宋体" w:hAnsi="宋体" w:cs="宋体"/>
          <w:sz w:val="24"/>
          <w:szCs w:val="24"/>
          <w:highlight w:val="none"/>
        </w:rPr>
        <w:t>集约利用存量资源、能共享不新建</w:t>
      </w:r>
      <w:r>
        <w:rPr>
          <w:rFonts w:ascii="宋体" w:eastAsia="宋体" w:hAnsi="宋体" w:cs="宋体" w:hint="eastAsia"/>
          <w:sz w:val="24"/>
          <w:szCs w:val="24"/>
          <w:highlight w:val="none"/>
        </w:rPr>
        <w:t>”</w:t>
      </w:r>
      <w:r>
        <w:rPr>
          <w:rFonts w:ascii="宋体" w:eastAsia="宋体" w:hAnsi="宋体" w:cs="宋体"/>
          <w:sz w:val="24"/>
          <w:szCs w:val="24"/>
          <w:highlight w:val="none"/>
        </w:rPr>
        <w:t>的原则， 进一步完善共建共享协调机制，不断深化5G基础设施共建共享，推进5G共建共享大数据平台建设，持续提升共建共享水平，支撑 5G 网络加快发展。</w:t>
      </w:r>
    </w:p>
    <w:p>
      <w:pPr>
        <w:spacing w:line="360" w:lineRule="auto"/>
        <w:ind w:firstLine="420" w:firstLineChars="20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rPr>
        <w:t>2023年2月27日，</w:t>
      </w:r>
      <w:r>
        <w:rPr>
          <w:rFonts w:ascii="宋体" w:eastAsia="宋体" w:hAnsi="宋体" w:cs="宋体" w:hint="eastAsia"/>
          <w:sz w:val="24"/>
          <w:szCs w:val="24"/>
          <w:highlight w:val="none"/>
          <w:shd w:val="clear" w:color="auto" w:fill="FFFFFF"/>
        </w:rPr>
        <w:t>中共中央、国务院印发了《数字中国建设整体布局规划》（以下简称《规划》），《规划》强调到2025年，基本形成横向打通、纵向贯通、协调有力的一体化推进格局，数字中国建设取得重要进展。数字基础设施高效联通，数据资源规模和质量加快提升，数据要素价值有效释放，数字经济发展质量效益大幅增强，政务数字化智能化水平明显提升，数字文化建设跃上新台阶，数字社会精准化普惠化便捷化取得显著成效，数字生态文明建设取得积极进展，数字技术创新实现重大突破，应用创新全球领先，数字安全保障能力全面提升，数字治理体系更加完善，数字领域国际合作打开新局面。到2035年，数字化发展水平进入世界前列，数字中国建设取得重大成就。数字中国建设体系化布局更加科学完备，经济、政治、文化、社会、生态文明建设各领域数字化发展更加协调充分，有力支撑全面建设社会主义现代化国家。</w:t>
      </w:r>
    </w:p>
    <w:p>
      <w:pPr>
        <w:spacing w:line="360" w:lineRule="auto"/>
        <w:ind w:firstLine="420" w:firstLineChars="20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2023年5月25日，工业和信息化部、教育部、公安部、民政部、自然资源部、住房和城乡建设部等十四部门联合印发了《关于进一步深化电信基础设施建设共建共享促进“双千兆”网络高质</w:t>
      </w:r>
      <w:r>
        <w:rPr>
          <w:rFonts w:ascii="宋体" w:eastAsia="宋体" w:hAnsi="宋体" w:cs="宋体" w:hint="eastAsia"/>
          <w:sz w:val="24"/>
          <w:highlight w:val="none"/>
        </w:rPr>
        <w:t>量发展的实施意见》（工信部联通[2023]59号），进一步深化电信基础设施共建共享工作，促进5G, 千兆光网等“双千兆”网络高质量发展。《实施意见》明确，要进一步强化电信基础设施的战略性、基础性、先导性公共基础设施属性，统筹电信基础设施系统与局部、增量与存量、行业内与行业间等协调发展，充分发挥市场引导作用，促进电信基础设施合理科学布局，准确把握电信基础设施共建共享工作的新特点，坚持目标导向和问题导向相结合，精准施策、靶向发力，推进共建共享深化发展。到2025年，电信基础设施共建共享工作机制不断完善，“双千兆”网络建设环境进一步优化，农村杆线梳理取得积极进展，跨行业共建共享深化拓展，数字化手段保障有力，电信基础设施共建共享水平稳步提升，有效节约社会资源。</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2023年9月13日，广西壮族自治区通信管理局等十七部门印发了《关于进一步深化电信基础设施共建共享</w:t>
      </w:r>
      <w:r>
        <w:rPr>
          <w:rFonts w:ascii="宋体" w:eastAsia="宋体" w:hAnsi="宋体" w:cs="宋体"/>
          <w:sz w:val="24"/>
          <w:highlight w:val="none"/>
        </w:rPr>
        <w:t>促进“双千兆”网络高质量 发展的具体实施意见</w:t>
      </w:r>
      <w:r>
        <w:rPr>
          <w:rFonts w:ascii="宋体" w:eastAsia="宋体" w:hAnsi="宋体" w:cs="宋体" w:hint="eastAsia"/>
          <w:sz w:val="24"/>
          <w:highlight w:val="none"/>
        </w:rPr>
        <w:t>》（桂通管通[2023]94号），提出了主要目标：到</w:t>
      </w:r>
      <w:r>
        <w:rPr>
          <w:rFonts w:ascii="宋体" w:eastAsia="宋体" w:hAnsi="宋体" w:cs="宋体"/>
          <w:sz w:val="24"/>
          <w:highlight w:val="none"/>
        </w:rPr>
        <w:t>2025年，电信基础设施共建共享工作机制不断完善，“双千兆”网络建设环境进一步优化，农村杆线梳理取得积极进展，跨行业共建共享深化拓展，数字化手段保障有力，电信基础设施共建共享水平显著提升，有效节约社会资源。</w:t>
      </w:r>
      <w:r>
        <w:rPr>
          <w:rFonts w:ascii="宋体" w:eastAsia="宋体" w:hAnsi="宋体" w:cs="宋体" w:hint="eastAsia"/>
          <w:sz w:val="24"/>
          <w:highlight w:val="none"/>
        </w:rPr>
        <w:t>文件列出了重点任务：推进专项规划落实。充分发挥规划引领作用，广西壮族自治</w:t>
      </w:r>
      <w:r>
        <w:rPr>
          <w:rFonts w:ascii="宋体" w:eastAsia="宋体" w:hAnsi="宋体" w:cs="宋体"/>
          <w:sz w:val="24"/>
          <w:highlight w:val="none"/>
        </w:rPr>
        <w:t>区通信管理局（以下简称广西通信管理局）应持续完善通信基础设施专项规划，明确5G基站站址、机房及通信管线等设施位置和配建要求，并做好与相关部门协调工作，推动相关企业落实国家战略规划和重大任务等；通信基础设施专项规划在编制和审查过程中应加强与有关国土空间规划的衔接及“一张图”的核对，遵循国土空间总体规划。通信基础设施专项规划经同级自然资源主管部门审查后，报同级人民政府审批，并在批复后将规划成果提交同级自然资源主管部门纳入同级国土空间基础信息平台，叠加到国土空间规划“一张图”上。</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当前，4G技术已不能满足广大用户的需求，5G技术逐步取代4G是必然趋势，5G正处于技术标准形成和产业化培育的关键时期，全球各国均把5G作为优先发展领域，强化产业布局，塑造竞争新优势。为更好应用5G技术，全面构建北海市经济社会中各行各业数字化转型，推动传统领域数字化、网络化和智能化升级，开发下一个万亿规模的战略新兴产业和经济增长新动力，创造大量就业机会；同时也为正确引导通信基础设施的合理布局，依法保障通信基础设施的规范建设和安全运行，促进通信事业蓬勃发展，依据自治区通信管理局《关于5G基站站址规划编制和企业编制5G建设计划专题会会议纪要》（桂通管〔2020〕32号）要求，特开展《广西北海市5G通信基础设施专项规划》。</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次通信基础设施专项基于北海市的各大基础电信企业网络现状，按照“公平、节约、共享、和谐”的原则，提出了北海市5G室外站、室分站点、重点机房、传输管道、光交节点、传输杆路、动力配套的建设布局规划，是指导北海市5G基础设施建设发展的重要依据。本规划应满足基础电信企业规划期内网络发展需求，特别是满足5G网络覆盖需求，同时要将通信基础设施专项规划纳入国土空间规划。</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为进一步指导北海市各城区做好通信基础设施专项规划工作，特制定本规划。规划以国土空间</w:t>
      </w:r>
      <w:r>
        <w:rPr>
          <w:rFonts w:ascii="宋体" w:eastAsia="宋体" w:hAnsi="宋体" w:cs="宋体"/>
          <w:sz w:val="24"/>
          <w:highlight w:val="none"/>
        </w:rPr>
        <w:t>规划</w:t>
      </w:r>
      <w:r>
        <w:rPr>
          <w:rFonts w:ascii="宋体" w:eastAsia="宋体" w:hAnsi="宋体" w:cs="宋体" w:hint="eastAsia"/>
          <w:sz w:val="24"/>
          <w:highlight w:val="none"/>
        </w:rPr>
        <w:t>、通信行业发展规划和有关标准规范为依据，科学预测各类通信用户规模，根据城市发展布局、人口分布和信息化发展规划等，统筹各类通信基站、局房、管线、光节点规划和建设时序，并充分考虑与国土空间规划等及地下综合管廊建设相衔接。</w:t>
      </w:r>
    </w:p>
    <w:p>
      <w:pPr>
        <w:pStyle w:val="Heading3"/>
        <w:keepNext w:val="0"/>
        <w:keepLines w:val="0"/>
        <w:spacing w:line="360" w:lineRule="auto"/>
        <w:ind w:firstLine="420" w:firstLineChars="200"/>
        <w:rPr>
          <w:rFonts w:ascii="宋体" w:eastAsia="宋体" w:hAnsi="宋体" w:cs="宋体"/>
          <w:sz w:val="28"/>
          <w:szCs w:val="28"/>
          <w:highlight w:val="none"/>
        </w:rPr>
      </w:pPr>
      <w:bookmarkStart w:id="18" w:name="_Toc14208"/>
      <w:r>
        <w:rPr>
          <w:rFonts w:ascii="宋体" w:eastAsia="宋体" w:hAnsi="宋体" w:cs="宋体" w:hint="eastAsia"/>
          <w:sz w:val="28"/>
          <w:szCs w:val="28"/>
          <w:highlight w:val="none"/>
        </w:rPr>
        <w:t>二、规划意义</w:t>
      </w:r>
      <w:bookmarkEnd w:id="18"/>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G通信网络作为国民经济的基础性、先导性、战略性产业和重要服务性行业，在构建智慧城市，面向具体的商业场景孵化自动化、智能化解决方案，推动业务自动发放、网络的智能具有重要作用。通过规划5G通信基础设施，促进地区信息消费水平提升，深入贯彻落实国家网络强国战略部署，深化新时代“数字广西”建设，推动全区信息通信业科学发展跨越发展。</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（一）通信基础设施专项规划融入国土空间规划，</w:t>
      </w:r>
      <w:r>
        <w:rPr>
          <w:rFonts w:ascii="宋体" w:eastAsia="宋体" w:hAnsi="宋体" w:cs="宋体"/>
          <w:sz w:val="24"/>
          <w:highlight w:val="none"/>
        </w:rPr>
        <w:t>并与</w:t>
      </w:r>
      <w:r>
        <w:rPr>
          <w:rFonts w:ascii="宋体" w:eastAsia="宋体" w:hAnsi="宋体" w:cs="宋体" w:hint="eastAsia"/>
          <w:sz w:val="24"/>
          <w:highlight w:val="none"/>
        </w:rPr>
        <w:t>其他相关规划相衔接。</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（二）协调落实并细化通信基础设施的空间资源需求，在建设用地等解决基站建设选址难、进场难、审批依据不足、空间资源浪费等问题。</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（三）存量基站及新建基站建设得到制度保障，减少和避免基站建设工作中的阻碍以及建成后的搬迁。</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（四）优化社会资源配置，避免重复建设，提高通信基础设施的利用率。</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五）站在中国发展全局角度深刻理解网络提速降费对拉动消费、促进创业就业、推动经济升级的重要意义。尤其针对“互联网+教育”、“互联网+远程医疗”等产业和小微企业发展，要加大“提速降费”支持力度。</w:t>
      </w:r>
    </w:p>
    <w:p>
      <w:pPr>
        <w:pStyle w:val="Heading3"/>
        <w:keepNext w:val="0"/>
        <w:keepLines w:val="0"/>
        <w:spacing w:line="360" w:lineRule="auto"/>
        <w:ind w:firstLine="420" w:firstLineChars="200"/>
        <w:rPr>
          <w:rFonts w:ascii="宋体" w:eastAsia="宋体" w:hAnsi="宋体" w:cs="宋体"/>
          <w:sz w:val="28"/>
          <w:szCs w:val="28"/>
          <w:highlight w:val="none"/>
        </w:rPr>
      </w:pPr>
      <w:bookmarkStart w:id="19" w:name="_Toc28495"/>
      <w:r>
        <w:rPr>
          <w:rFonts w:ascii="宋体" w:eastAsia="宋体" w:hAnsi="宋体" w:cs="宋体" w:hint="eastAsia"/>
          <w:sz w:val="28"/>
          <w:szCs w:val="28"/>
          <w:highlight w:val="none"/>
        </w:rPr>
        <w:t>三、规划范围与年限</w:t>
      </w:r>
      <w:bookmarkEnd w:id="19"/>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次规划以北海市各城区（包括海城区、银海区、铁山港区）为范围，总面积1226平方公里。其中北海市各城区、各工业园区及开发区的国土空间规划所确定的规划范围为本次规划的重点区域。广西5G通信基础设施专项规划是中期规划，规划期从2023年至2030年。根据通信基础设施网络布局和社会经济发展需要将 5G 建设所需的光纤传输网络、宏站、室分、管道、光交、杆路、传输机房、核心机房、电力等配套纳入专项规划，涉及局房、站址、管道、传输线路、光交节点和室分的规划。</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规划期限为2023-2030年。</w:t>
      </w:r>
    </w:p>
    <w:p>
      <w:pPr>
        <w:pStyle w:val="Heading3"/>
        <w:keepNext w:val="0"/>
        <w:keepLines w:val="0"/>
        <w:spacing w:line="360" w:lineRule="auto"/>
        <w:ind w:firstLine="420" w:firstLineChars="200"/>
        <w:rPr>
          <w:rFonts w:ascii="宋体" w:eastAsia="宋体" w:hAnsi="宋体" w:cs="宋体"/>
          <w:sz w:val="28"/>
          <w:szCs w:val="28"/>
          <w:highlight w:val="none"/>
        </w:rPr>
      </w:pPr>
      <w:bookmarkStart w:id="20" w:name="_Toc19628"/>
      <w:r>
        <w:rPr>
          <w:rFonts w:ascii="宋体" w:eastAsia="宋体" w:hAnsi="宋体" w:cs="宋体" w:hint="eastAsia"/>
          <w:sz w:val="28"/>
          <w:szCs w:val="28"/>
          <w:highlight w:val="none"/>
        </w:rPr>
        <w:t>四、规划依据</w:t>
      </w:r>
      <w:bookmarkEnd w:id="20"/>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（一）法律、法规、规范、标准</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《中华人民共和国城乡规划法》；</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《中华人民共和国土地管理法》；</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《中华人民共和国环境保护法》(2014年修订)；</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《中华人民共和国电信条例》（2016年修订）；</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《中华人民共和国无线电管理条例》（2016年修订））；</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《文物保护法实施条例》（2017年修订）；</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《公路安全保护条例》（国务院令第593号）；</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《中华人民共和国铁路法》（2015年修订）；</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《广西壮族自治区电信设施建设与保护条例》（2018年修订）；</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《城市规划编制办法》（2006年）；</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《城市工程管线综合规划规范》(GB 50289-2016)；</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《城市通信工程规划规范》（GB/T 50853-2013）；</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《电磁辐射环境保护管理办法》（国家环保局令第18号）；</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《电磁环境控制限值》（GB 8702-2014）；</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《通信工程建设环境保护技术标准》（GB/T 51391-2019）；</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《通信局（站）防雷与接地工程设计规范》(GB 50689-2011)；</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 xml:space="preserve">工业和信息化部关于印发《3000－5000MHz频段第五代移动通信基站与卫星地球站等无     </w:t>
      </w:r>
    </w:p>
    <w:p>
      <w:pPr>
        <w:pStyle w:val="ListParagraph"/>
        <w:spacing w:line="360" w:lineRule="auto"/>
        <w:ind w:firstLine="630" w:firstLineChars="300"/>
        <w:jc w:val="left"/>
        <w:rPr>
          <w:rFonts w:ascii="宋体" w:eastAsia="宋体" w:hAnsi="宋体" w:cs="宋体"/>
          <w:sz w:val="24"/>
          <w:highlight w:val="none"/>
        </w:rPr>
      </w:pPr>
      <w:r>
        <w:rPr>
          <w:rFonts w:ascii="宋体" w:eastAsia="宋体" w:hAnsi="宋体" w:cs="宋体" w:hint="eastAsia"/>
          <w:sz w:val="24"/>
          <w:highlight w:val="none"/>
        </w:rPr>
        <w:t>线电台（站）干扰协调管理办法》的通知[工信部〔2018〕266号文]；</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《数字蜂窝移动通信网LTE FDD无线网工程设计规范》（YD/T 5224-2015）；</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《数字蜂窝移动通信网LTE FDD无线网工程验收规范》（YD/T 5225-2015）；</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《900M/1800MHz TDMA 数字蜂窝移动通信网工程设计规范》（YD 5104-2003）；</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《900MHzTDMA 数字公用陆地蜂窝移动通信网技术体制》（TZ019-95）；</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《通信管道与通道工程设计规范》（GB 50373-2019）；</w:t>
      </w:r>
    </w:p>
    <w:p>
      <w:pPr>
        <w:pStyle w:val="ListParagraph"/>
        <w:numPr>
          <w:ilvl w:val="0"/>
          <w:numId w:val="6"/>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《YD/T 5120-2015 无线通信室内覆盖系统工程设计规范》；</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（二）相关政策、规划</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《数字乡村发展战略纲要》（中共中央办公厅、国务院办公厅2019年5月）；</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《广西新型基础设施建设发展规划（2020-2025年）》；</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《无线站址规划技术指导意见》（中国铁塔股份有限公司2015年6月）；</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《广西城市通信基础设施规划编制协商会议纪要》（桂通管通[2015]56号）；</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《关于加强广西通信基础设施规划工作的通知》（桂建规园[2016]23号）；</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 xml:space="preserve">《2015年电信设施共建共享及基站设施开放共享协调会议纪要》（桂通管通[2015]27   </w:t>
      </w:r>
    </w:p>
    <w:p>
      <w:pPr>
        <w:pStyle w:val="ListParagraph"/>
        <w:spacing w:line="360" w:lineRule="auto"/>
        <w:ind w:firstLine="840" w:firstLineChars="400"/>
        <w:jc w:val="left"/>
        <w:rPr>
          <w:rFonts w:ascii="宋体" w:eastAsia="宋体" w:hAnsi="宋体" w:cs="宋体"/>
          <w:sz w:val="24"/>
          <w:highlight w:val="none"/>
        </w:rPr>
      </w:pPr>
      <w:r>
        <w:rPr>
          <w:rFonts w:ascii="宋体" w:eastAsia="宋体" w:hAnsi="宋体" w:cs="宋体" w:hint="eastAsia"/>
          <w:sz w:val="24"/>
          <w:highlight w:val="none"/>
        </w:rPr>
        <w:t xml:space="preserve">号）； </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 xml:space="preserve">《关于5G基站站址规划编制和企业编制5G建设计划专题会会议纪要》（桂通管〔2020〕   </w:t>
      </w:r>
    </w:p>
    <w:p>
      <w:pPr>
        <w:pStyle w:val="ListParagraph"/>
        <w:spacing w:line="360" w:lineRule="auto"/>
        <w:ind w:left="420" w:firstLine="480" w:leftChars="200"/>
        <w:jc w:val="left"/>
        <w:rPr>
          <w:rFonts w:ascii="宋体" w:eastAsia="宋体" w:hAnsi="宋体" w:cs="宋体"/>
          <w:sz w:val="24"/>
          <w:highlight w:val="none"/>
        </w:rPr>
      </w:pPr>
      <w:r>
        <w:rPr>
          <w:rFonts w:ascii="宋体" w:eastAsia="宋体" w:hAnsi="宋体" w:cs="宋体" w:hint="eastAsia"/>
          <w:sz w:val="24"/>
          <w:highlight w:val="none"/>
        </w:rPr>
        <w:t>32号）；</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《广西加快5G产业发展行动计划（2019-2021年）的通知》(桂数广发〔2019〕4号)</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 xml:space="preserve">《关于推进电信基础设施共建共享支撑5G网络加快建设发展的实施意见》（工信部联 </w:t>
      </w:r>
    </w:p>
    <w:p>
      <w:pPr>
        <w:pStyle w:val="ListParagraph"/>
        <w:spacing w:line="360" w:lineRule="auto"/>
        <w:ind w:firstLine="840" w:firstLineChars="400"/>
        <w:jc w:val="left"/>
        <w:rPr>
          <w:rFonts w:ascii="宋体" w:eastAsia="宋体" w:hAnsi="宋体" w:cs="宋体"/>
          <w:sz w:val="24"/>
          <w:highlight w:val="none"/>
        </w:rPr>
      </w:pPr>
      <w:r>
        <w:rPr>
          <w:rFonts w:ascii="宋体" w:eastAsia="宋体" w:hAnsi="宋体" w:cs="宋体" w:hint="eastAsia"/>
          <w:sz w:val="24"/>
          <w:highlight w:val="none"/>
        </w:rPr>
        <w:t>通信〔2020〕 78 号）</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《北海市国土空间总体规划</w:t>
      </w:r>
      <w:r>
        <w:rPr>
          <w:rFonts w:ascii="宋体" w:eastAsia="宋体" w:hAnsi="宋体" w:cs="宋体"/>
          <w:sz w:val="24"/>
          <w:highlight w:val="none"/>
        </w:rPr>
        <w:t>(2021-2035年)</w:t>
      </w:r>
      <w:r>
        <w:rPr>
          <w:rFonts w:ascii="宋体" w:eastAsia="宋体" w:hAnsi="宋体" w:cs="宋体" w:hint="eastAsia"/>
          <w:sz w:val="24"/>
          <w:highlight w:val="none"/>
        </w:rPr>
        <w:t>》；</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《北海市国民经济和社会发展第十四个五年规划纲要》；</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《北海市人民政府办公室关于加快推进5G/4G移动通信基站建设的通知》；</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《北海市人民政府办公室关于印发北海市5G通信基础设施建设2020-2021年行动计划的通知》</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《北海市加快推进5G通信基础设施建设》；</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《北海市住房和城乡建设局转发北海市人民政府办公室关于加快推进5G/4G移动通信基站建设的通知》；</w:t>
      </w:r>
    </w:p>
    <w:p>
      <w:pPr>
        <w:pStyle w:val="ListParagraph"/>
        <w:numPr>
          <w:ilvl w:val="0"/>
          <w:numId w:val="7"/>
        </w:numPr>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《中共中央关于制定国民经济和社会发展第十四个五年规划和二0二五年远景目标的</w:t>
      </w:r>
    </w:p>
    <w:p>
      <w:pPr>
        <w:pStyle w:val="ListParagraph"/>
        <w:spacing w:line="360" w:lineRule="auto"/>
        <w:ind w:firstLine="840" w:firstLineChars="400"/>
        <w:jc w:val="left"/>
        <w:rPr>
          <w:rFonts w:ascii="宋体" w:eastAsia="宋体" w:hAnsi="宋体" w:cs="宋体"/>
          <w:sz w:val="24"/>
          <w:highlight w:val="none"/>
        </w:rPr>
      </w:pPr>
      <w:r>
        <w:rPr>
          <w:rFonts w:ascii="宋体" w:eastAsia="宋体" w:hAnsi="宋体" w:cs="宋体" w:hint="eastAsia"/>
          <w:sz w:val="24"/>
          <w:highlight w:val="none"/>
        </w:rPr>
        <w:t>建议》；</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shd w:val="clear" w:color="auto" w:fill="FFFFFF"/>
        </w:rPr>
        <w:t>《3000-5000MHz频段第五代移动通信基站与卫星地球站等无线电台（站）干扰协调管</w:t>
      </w:r>
    </w:p>
    <w:p>
      <w:pPr>
        <w:pStyle w:val="ListParagraph"/>
        <w:spacing w:line="360" w:lineRule="auto"/>
        <w:ind w:firstLine="840" w:firstLineChars="400"/>
        <w:rPr>
          <w:rFonts w:ascii="宋体" w:eastAsia="宋体" w:hAnsi="宋体" w:cs="宋体"/>
          <w:sz w:val="24"/>
          <w:szCs w:val="24"/>
          <w:highlight w:val="none"/>
        </w:rPr>
      </w:pPr>
      <w:r>
        <w:rPr>
          <w:rFonts w:ascii="宋体" w:eastAsia="宋体" w:hAnsi="宋体" w:cs="宋体" w:hint="eastAsia"/>
          <w:sz w:val="24"/>
          <w:szCs w:val="24"/>
          <w:highlight w:val="none"/>
          <w:shd w:val="clear" w:color="auto" w:fill="FFFFFF"/>
        </w:rPr>
        <w:t>理办法》（工信部无〔2018〕266号</w:t>
      </w:r>
      <w:r>
        <w:rPr>
          <w:rFonts w:ascii="宋体" w:eastAsia="宋体" w:hAnsi="宋体" w:cs="宋体" w:hint="eastAsia"/>
          <w:sz w:val="24"/>
          <w:szCs w:val="24"/>
          <w:highlight w:val="none"/>
        </w:rPr>
        <w:t>）；</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《关于中国移动通信公司在铁路用地范围内设置网络通信设备的意见》；</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《关于推动5G加快发展的通知》；</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shd w:val="clear" w:color="auto" w:fill="FFFFFF"/>
        </w:rPr>
        <w:t>《中共中央、国务院关于印发 &lt;数字中国建设整体布局规划&gt; 的通知》；</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highlight w:val="none"/>
        </w:rPr>
        <w:t>《“十四五”信息通信行业发展规划》（工信部规[2021]164号）；</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shd w:val="clear" w:color="auto" w:fill="FFFFFF"/>
        </w:rPr>
        <w:t>《工信部等十四部关于进一步深化电信基础设施建设共建共享促进“双千兆”网络高质</w:t>
      </w:r>
      <w:r>
        <w:rPr>
          <w:rFonts w:ascii="宋体" w:eastAsia="宋体" w:hAnsi="宋体" w:cs="宋体" w:hint="eastAsia"/>
          <w:sz w:val="24"/>
          <w:highlight w:val="none"/>
        </w:rPr>
        <w:t>量发展的实施意见》（工信部联通[2023]59号）；</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《广西通信管理局等十七部门关于进一步深化电信基础设施共建共享 促进“双千兆”</w:t>
      </w:r>
    </w:p>
    <w:p>
      <w:pPr>
        <w:pStyle w:val="ListParagraph"/>
        <w:spacing w:line="360" w:lineRule="auto"/>
        <w:ind w:firstLine="840" w:firstLineChars="400"/>
        <w:rPr>
          <w:rFonts w:ascii="宋体" w:eastAsia="宋体" w:hAnsi="宋体" w:cs="宋体"/>
          <w:sz w:val="24"/>
          <w:szCs w:val="24"/>
          <w:highlight w:val="none"/>
        </w:rPr>
      </w:pPr>
      <w:r>
        <w:rPr>
          <w:rFonts w:ascii="宋体" w:eastAsia="宋体" w:hAnsi="宋体" w:cs="宋体" w:hint="eastAsia"/>
          <w:sz w:val="24"/>
          <w:szCs w:val="24"/>
          <w:highlight w:val="none"/>
        </w:rPr>
        <w:t>网络高质量发展的具体实施意见》桂通管通〔2023〕94号；</w:t>
      </w:r>
    </w:p>
    <w:p>
      <w:pPr>
        <w:pStyle w:val="ListParagraph"/>
        <w:numPr>
          <w:ilvl w:val="0"/>
          <w:numId w:val="7"/>
        </w:num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中国联通、中国移动、中国电信、中国广电提供的相关资料和依据。</w:t>
      </w:r>
    </w:p>
    <w:p>
      <w:pPr>
        <w:numPr>
          <w:ilvl w:val="0"/>
          <w:numId w:val="8"/>
        </w:num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有关文件</w:t>
      </w:r>
    </w:p>
    <w:p>
      <w:pPr>
        <w:pStyle w:val="ListParagraph"/>
        <w:numPr>
          <w:ilvl w:val="0"/>
          <w:numId w:val="9"/>
        </w:numPr>
        <w:spacing w:line="360" w:lineRule="auto"/>
        <w:ind w:left="0" w:firstLine="480"/>
        <w:rPr>
          <w:rFonts w:ascii="宋体" w:eastAsia="宋体" w:hAnsi="宋体" w:cs="宋体"/>
          <w:b/>
          <w:bCs/>
          <w:sz w:val="24"/>
          <w:highlight w:val="none"/>
        </w:rPr>
      </w:pPr>
      <w:r>
        <w:rPr>
          <w:rFonts w:ascii="宋体" w:eastAsia="宋体" w:hAnsi="宋体" w:cs="宋体" w:hint="eastAsia"/>
          <w:sz w:val="24"/>
          <w:szCs w:val="24"/>
          <w:highlight w:val="none"/>
        </w:rPr>
        <w:t>规划设计单位规划人员调研取得的资料。</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2.规划范围地形电子文件及其他基础材料。</w:t>
      </w:r>
    </w:p>
    <w:p>
      <w:pPr>
        <w:pStyle w:val="Heading3"/>
        <w:keepNext w:val="0"/>
        <w:keepLines w:val="0"/>
        <w:spacing w:line="360" w:lineRule="auto"/>
        <w:ind w:firstLine="420" w:firstLineChars="200"/>
        <w:rPr>
          <w:rFonts w:ascii="宋体" w:eastAsia="宋体" w:hAnsi="宋体" w:cs="宋体"/>
          <w:sz w:val="28"/>
          <w:szCs w:val="28"/>
          <w:highlight w:val="none"/>
        </w:rPr>
      </w:pPr>
      <w:bookmarkStart w:id="21" w:name="_Toc7276"/>
      <w:r>
        <w:rPr>
          <w:rFonts w:ascii="宋体" w:eastAsia="宋体" w:hAnsi="宋体" w:cs="宋体" w:hint="eastAsia"/>
          <w:sz w:val="28"/>
          <w:szCs w:val="28"/>
          <w:highlight w:val="none"/>
        </w:rPr>
        <w:t>五、指导思想</w:t>
      </w:r>
      <w:bookmarkEnd w:id="21"/>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以习近平新时代中国特色社会主义思想</w:t>
      </w:r>
      <w:r>
        <w:rPr>
          <w:rFonts w:ascii="宋体" w:eastAsia="宋体" w:hAnsi="宋体" w:cs="宋体" w:hint="eastAsia"/>
          <w:sz w:val="24"/>
          <w:szCs w:val="24"/>
          <w:highlight w:val="none"/>
          <w:shd w:val="clear" w:color="auto" w:fill="FFFFFF"/>
        </w:rPr>
        <w:t>特别是习近平总书记关于网络强国的重要思想为指导，深入贯彻党的二十大</w:t>
      </w:r>
      <w:r>
        <w:rPr>
          <w:rFonts w:ascii="宋体" w:eastAsia="宋体" w:hAnsi="宋体" w:cs="宋体" w:hint="eastAsia"/>
          <w:sz w:val="24"/>
          <w:szCs w:val="24"/>
          <w:highlight w:val="none"/>
        </w:rPr>
        <w:t>精神，深入贯彻落实习近平总书记对广西工作的重要指示精神，围绕中央赋予广西“三大定位“新使命和“南向、北联、东融、西合”开放发展新格局，聚焦信息基础设施、融合基础设施、创新基础设施三大领域，前瞻布局5G、数据中心等新型基础设施，全面落实工业与信息化部《关于推动5G加快发展的通知》、广西壮族自治区数字广西建设领导小组关于印发《广西加快5G产业发展行动计划（2019-2021年）》的通知(桂数广发〔2019〕4号)、《广西新型基础设施建设发展规划（2020-2025年）》以及</w:t>
      </w:r>
      <w:r>
        <w:rPr>
          <w:rFonts w:ascii="宋体" w:eastAsia="宋体" w:hAnsi="宋体" w:cs="宋体" w:hint="eastAsia"/>
          <w:sz w:val="24"/>
          <w:highlight w:val="none"/>
        </w:rPr>
        <w:t>广西壮族自治区通信管理局等十七部门联合印发《关于进一步深化电信基础设施共建共享促进“双千兆”网络高质量 发展的具体实施意见》（桂通管通[2023]94号）的</w:t>
      </w:r>
      <w:r>
        <w:rPr>
          <w:rFonts w:ascii="宋体" w:eastAsia="宋体" w:hAnsi="宋体" w:cs="宋体" w:hint="eastAsia"/>
          <w:sz w:val="24"/>
          <w:szCs w:val="24"/>
          <w:highlight w:val="none"/>
        </w:rPr>
        <w:t>要求，构建集约高效、经济适用、智能绿色、安全可靠的现代化基础设施体系，以5G创新为动力，促进产业转型升级，推动数字广西建设，增强社会经济发展新动能。</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通信基础设施规划与国土空间</w:t>
      </w:r>
      <w:r>
        <w:rPr>
          <w:rFonts w:ascii="宋体" w:eastAsia="宋体" w:hAnsi="宋体" w:cs="宋体"/>
          <w:sz w:val="24"/>
          <w:szCs w:val="24"/>
          <w:highlight w:val="none"/>
        </w:rPr>
        <w:t>规划、</w:t>
      </w:r>
      <w:r>
        <w:rPr>
          <w:rFonts w:ascii="宋体" w:eastAsia="宋体" w:hAnsi="宋体" w:cs="宋体" w:hint="eastAsia"/>
          <w:sz w:val="24"/>
          <w:szCs w:val="24"/>
          <w:highlight w:val="none"/>
        </w:rPr>
        <w:t>通信行业发展性规划、十四五规划相衔接，遵信合理布局，共建共享，优化配置以及可持续发展的原则。</w:t>
      </w:r>
    </w:p>
    <w:p>
      <w:pPr>
        <w:pStyle w:val="Heading3"/>
        <w:keepNext w:val="0"/>
        <w:keepLines w:val="0"/>
        <w:spacing w:line="360" w:lineRule="auto"/>
        <w:ind w:firstLine="420" w:firstLineChars="200"/>
        <w:rPr>
          <w:rFonts w:ascii="宋体" w:eastAsia="宋体" w:hAnsi="宋体" w:cs="宋体"/>
          <w:sz w:val="28"/>
          <w:szCs w:val="28"/>
          <w:highlight w:val="none"/>
        </w:rPr>
      </w:pPr>
      <w:bookmarkStart w:id="22" w:name="_Toc21266"/>
      <w:r>
        <w:rPr>
          <w:rFonts w:ascii="宋体" w:eastAsia="宋体" w:hAnsi="宋体" w:cs="宋体" w:hint="eastAsia"/>
          <w:sz w:val="28"/>
          <w:szCs w:val="28"/>
          <w:highlight w:val="none"/>
        </w:rPr>
        <w:t>六、规划目标</w:t>
      </w:r>
      <w:bookmarkEnd w:id="22"/>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highlight w:val="none"/>
        </w:rPr>
        <w:t>到2025年，实现市区、县城、乡镇以上区域连续覆盖，已通车高速公路和高速铁路实现基本覆盖，重点保障科研教</w:t>
      </w:r>
      <w:r>
        <w:rPr>
          <w:rFonts w:ascii="宋体" w:eastAsia="宋体" w:hAnsi="宋体" w:cs="宋体" w:hint="eastAsia"/>
          <w:sz w:val="24"/>
          <w:szCs w:val="24"/>
          <w:highlight w:val="none"/>
        </w:rPr>
        <w:t>学区、垂直行业示范区、高新技术产业园、高流量商圈、政务中心等行业应用区域的5G网络覆盖；5G基站达到1850座，一批工业互联网，物联网、人工智能示范基地和应用场景初步培育，建成一批智慧城市、智慧乡村、智慧社区。全市数字产业化，产业数字化水平明显提升。</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到2030年，全市新型基础设施建设达到国内领先水平。5G基站达到3307座，高速公路实现5G布局，形成泛在感知、万物互联、数据智能、绿色安全的新型信息基础设施，推动交通、能源、水利、文化、教育、医疗、旅游、金融等与数字技术深度融合，城市建设、社会治理体系的数字化、网络化、智能化水平大幅提升，新型基础设施成为全经济高质量发展的重要支撑，数字产业成为经济增长的支柱产业。</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本次规划立足现状，目标引领，深挖共享，形成具体的规划思路和方案，规模储备5G站址、机房、管道等通信资源。</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本次规划依托政府政策支持，立足现状，目标引领，深挖共享，形成具体的规划思路和方案，规模储备5G站址、机房、管道等通信资源。</w:t>
      </w:r>
    </w:p>
    <w:p>
      <w:pPr>
        <w:pStyle w:val="ListParagraph"/>
        <w:spacing w:line="360" w:lineRule="auto"/>
        <w:ind w:firstLine="480"/>
        <w:jc w:val="left"/>
        <w:rPr>
          <w:rFonts w:ascii="宋体" w:eastAsia="宋体" w:hAnsi="宋体" w:cs="宋体"/>
          <w:sz w:val="24"/>
          <w:highlight w:val="none"/>
        </w:rPr>
      </w:pPr>
      <w:r>
        <w:rPr>
          <w:rFonts w:ascii="宋体" w:eastAsia="宋体" w:hAnsi="宋体" w:cs="宋体" w:hint="eastAsia"/>
          <w:sz w:val="24"/>
          <w:highlight w:val="none"/>
        </w:rPr>
        <w:t>本期编制的通信基础设施规划，纳入与其相应的城乡规划，经依法批准后，作为规划管理的依据之一，同时与其他相关专项规划进行衔接。</w:t>
      </w:r>
    </w:p>
    <w:p>
      <w:pPr>
        <w:pStyle w:val="Heading3"/>
        <w:keepNext w:val="0"/>
        <w:keepLines w:val="0"/>
        <w:spacing w:line="360" w:lineRule="auto"/>
        <w:rPr>
          <w:rFonts w:ascii="宋体" w:eastAsia="宋体" w:hAnsi="宋体" w:cs="宋体"/>
          <w:sz w:val="28"/>
          <w:szCs w:val="28"/>
          <w:highlight w:val="none"/>
        </w:rPr>
      </w:pPr>
      <w:bookmarkStart w:id="23" w:name="_Toc25886"/>
      <w:r>
        <w:rPr>
          <w:rFonts w:ascii="宋体" w:eastAsia="宋体" w:hAnsi="宋体" w:cs="宋体" w:hint="eastAsia"/>
          <w:sz w:val="28"/>
          <w:szCs w:val="28"/>
          <w:highlight w:val="none"/>
        </w:rPr>
        <w:t>七、规划原则与思路</w:t>
      </w:r>
      <w:bookmarkEnd w:id="23"/>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（一）规划原则</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全面落实《国家新型城镇化规划（2014-2020</w:t>
      </w:r>
      <w:r>
        <w:rPr>
          <w:rFonts w:ascii="宋体" w:eastAsia="宋体" w:hAnsi="宋体" w:cs="宋体" w:hint="eastAsia"/>
          <w:sz w:val="24"/>
          <w:highlight w:val="none"/>
          <w:lang w:val="en-US" w:eastAsia="zh-CN"/>
        </w:rPr>
        <w:t>年</w:t>
      </w:r>
      <w:r>
        <w:rPr>
          <w:rFonts w:ascii="宋体" w:eastAsia="宋体" w:hAnsi="宋体" w:cs="宋体" w:hint="eastAsia"/>
          <w:sz w:val="24"/>
          <w:highlight w:val="none"/>
        </w:rPr>
        <w:t>）》、《“宽带中国”战略及实施方案》、《国务院办公厅关于加快高速宽带网络建设推进网络提速降费的指导意见》（国办发[2015]41 号）、《关于推进电信基础设施共建共享支撑5G网络加快建设发展的实施意见》（工信部联通信〔2020〕78号）以及《广西新型基础设施建设发展规划（2020-2025年）》要求，以加快构建“宽带、融合、安全、泛在”的下一代国家信息基础设施为目标，按照“统一规划、合理布局、远近结合、共建共享”的原则，结合城市规划改革创新，统筹各类通信基础设施规划，加强通信管线与其他管线的综合规划，推进通信基础设施建设和技术升级，提升通信网络覆盖范围和服务质量，促进通信基础设施又好又快发展。</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1、统筹规划、系统推进。把5G通信基础设施项目建设与传统基础设施改造升级统筹考虑，一体谋划、协同推进，促进5G通信基础与传统基础设施智能融合发展，显著提升基础设施保障能力。</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2、市场主导、政府推动。充分发挥市场配置资源决定性作用和更好发挥政府作用，加强顶层设计，构建良好的政策环境和营商环境，激发市场主体活力，让广大企业成为5G通信基础设施建设的主力军。</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3、创新驱动、技术引领。深入实施创新驱动发展战略，瞄准国内外前沿技术领域，广泛运用最新科技成果，抢占科技竞争制高点，着力提升基础设施数字化、网络化、智能化水平。</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4、应用导向、培育产业。通过5G通信基础设施建设，支撑发展新经济，培育智能制造、远程医疗、在线办公、在线教育、无人配送等新业态，培育新产业形成新动能。</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资源开放、共建共享。加大资源开放力度，遵循“一切挂高皆可用”的原则，全市公共部门的建筑物、构筑物、公共交通设施、市政公共设施向电信企业开放使用，在建设路灯、监控、交通指示、通信等杆塔设施时，应统筹考虑并优先采用有“多杆合一”功能的“城市智慧型杆塔”，加大共建共享力度，避免重复建设和资源浪费。</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6、适度超前、协同和谐。规划要具有前瞻性，能满足规划期的建设需求，并对后期网络建设具有延续性。同时，要符合国土以及城市信息化建设发展趋势的要求，基站规划建设要符合城市景观等要求。</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highlight w:val="none"/>
        </w:rPr>
        <w:t>7、</w:t>
      </w:r>
      <w:r>
        <w:rPr>
          <w:rFonts w:ascii="宋体" w:eastAsia="宋体" w:hAnsi="宋体" w:cs="宋体" w:hint="eastAsia"/>
          <w:sz w:val="24"/>
          <w:szCs w:val="24"/>
          <w:highlight w:val="none"/>
        </w:rPr>
        <w:t>整合资源，服务民生。通过多网协作，整合资源，切合生态城镇特点，分场景分类别规划站点美化建设方案，支撑合浦产业对信息化的要求。强化规划落地执行保障，保证公平接入。</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8、坚持底线思维，践行</w:t>
      </w:r>
      <w:r>
        <w:rPr>
          <w:rFonts w:ascii="宋体" w:eastAsia="宋体" w:hAnsi="宋体" w:cs="宋体"/>
          <w:sz w:val="24"/>
          <w:szCs w:val="24"/>
          <w:highlight w:val="none"/>
        </w:rPr>
        <w:t>绿色发展。</w:t>
      </w:r>
      <w:r>
        <w:rPr>
          <w:rFonts w:ascii="宋体" w:eastAsia="宋体" w:hAnsi="宋体" w:cs="宋体" w:hint="eastAsia"/>
          <w:sz w:val="24"/>
          <w:szCs w:val="24"/>
          <w:highlight w:val="none"/>
        </w:rPr>
        <w:t>基站</w:t>
      </w:r>
      <w:r>
        <w:rPr>
          <w:rFonts w:ascii="宋体" w:eastAsia="宋体" w:hAnsi="宋体" w:cs="宋体"/>
          <w:sz w:val="24"/>
          <w:szCs w:val="24"/>
          <w:highlight w:val="none"/>
        </w:rPr>
        <w:t>的选址不应占用永久基本农田和</w:t>
      </w:r>
      <w:r>
        <w:rPr>
          <w:rFonts w:ascii="宋体" w:eastAsia="宋体" w:hAnsi="宋体" w:cs="宋体" w:hint="eastAsia"/>
          <w:sz w:val="24"/>
          <w:szCs w:val="24"/>
          <w:highlight w:val="none"/>
        </w:rPr>
        <w:t>生态</w:t>
      </w:r>
      <w:r>
        <w:rPr>
          <w:rFonts w:ascii="宋体" w:eastAsia="宋体" w:hAnsi="宋体" w:cs="宋体"/>
          <w:sz w:val="24"/>
          <w:szCs w:val="24"/>
          <w:highlight w:val="none"/>
        </w:rPr>
        <w:t>保护红线</w:t>
      </w:r>
      <w:r>
        <w:rPr>
          <w:rFonts w:ascii="宋体" w:eastAsia="宋体" w:hAnsi="宋体" w:cs="宋体" w:hint="eastAsia"/>
          <w:sz w:val="24"/>
          <w:szCs w:val="24"/>
          <w:highlight w:val="none"/>
        </w:rPr>
        <w:t>，避让耕地</w:t>
      </w:r>
      <w:r>
        <w:rPr>
          <w:rFonts w:ascii="宋体" w:eastAsia="宋体" w:hAnsi="宋体" w:cs="宋体"/>
          <w:sz w:val="24"/>
          <w:szCs w:val="24"/>
          <w:highlight w:val="none"/>
        </w:rPr>
        <w:t>、</w:t>
      </w:r>
      <w:r>
        <w:rPr>
          <w:rFonts w:ascii="宋体" w:eastAsia="宋体" w:hAnsi="宋体" w:cs="宋体" w:hint="eastAsia"/>
          <w:sz w:val="24"/>
          <w:szCs w:val="24"/>
          <w:highlight w:val="none"/>
        </w:rPr>
        <w:t>高标准</w:t>
      </w:r>
      <w:r>
        <w:rPr>
          <w:rFonts w:ascii="宋体" w:eastAsia="宋体" w:hAnsi="宋体" w:cs="宋体"/>
          <w:sz w:val="24"/>
          <w:szCs w:val="24"/>
          <w:highlight w:val="none"/>
        </w:rPr>
        <w:t>农田、坟地、水源保护区</w:t>
      </w:r>
      <w:r>
        <w:rPr>
          <w:rFonts w:ascii="宋体" w:eastAsia="宋体" w:hAnsi="宋体" w:cs="宋体" w:hint="eastAsia"/>
          <w:sz w:val="24"/>
          <w:szCs w:val="24"/>
          <w:highlight w:val="none"/>
        </w:rPr>
        <w:t>等</w:t>
      </w:r>
      <w:r>
        <w:rPr>
          <w:rFonts w:ascii="宋体" w:eastAsia="宋体" w:hAnsi="宋体" w:cs="宋体"/>
          <w:sz w:val="24"/>
          <w:szCs w:val="24"/>
          <w:highlight w:val="none"/>
        </w:rPr>
        <w:t>。</w:t>
      </w:r>
      <w:r>
        <w:rPr>
          <w:rFonts w:ascii="宋体" w:eastAsia="宋体" w:hAnsi="宋体" w:cs="宋体" w:hint="eastAsia"/>
          <w:sz w:val="24"/>
          <w:szCs w:val="24"/>
          <w:highlight w:val="none"/>
        </w:rPr>
        <w:t>建议使用存量建设</w:t>
      </w:r>
      <w:r>
        <w:rPr>
          <w:rFonts w:ascii="宋体" w:eastAsia="宋体" w:hAnsi="宋体" w:cs="宋体"/>
          <w:sz w:val="24"/>
          <w:szCs w:val="24"/>
          <w:highlight w:val="none"/>
        </w:rPr>
        <w:t>用地。</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9、营造安全和谐、</w:t>
      </w:r>
      <w:r>
        <w:rPr>
          <w:rFonts w:ascii="宋体" w:eastAsia="宋体" w:hAnsi="宋体" w:cs="宋体"/>
          <w:sz w:val="24"/>
          <w:szCs w:val="24"/>
          <w:highlight w:val="none"/>
        </w:rPr>
        <w:t>宜居适度的人居环境。</w:t>
      </w:r>
      <w:r>
        <w:rPr>
          <w:rFonts w:ascii="宋体" w:eastAsia="宋体" w:hAnsi="宋体" w:cs="宋体" w:hint="eastAsia"/>
          <w:sz w:val="24"/>
          <w:szCs w:val="24"/>
          <w:highlight w:val="none"/>
        </w:rPr>
        <w:t>基站</w:t>
      </w:r>
      <w:r>
        <w:rPr>
          <w:rFonts w:ascii="宋体" w:eastAsia="宋体" w:hAnsi="宋体" w:cs="宋体"/>
          <w:sz w:val="24"/>
          <w:szCs w:val="24"/>
          <w:highlight w:val="none"/>
        </w:rPr>
        <w:t>选址尽量</w:t>
      </w:r>
      <w:r>
        <w:rPr>
          <w:rFonts w:ascii="宋体" w:eastAsia="宋体" w:hAnsi="宋体" w:cs="宋体" w:hint="eastAsia"/>
          <w:sz w:val="24"/>
          <w:szCs w:val="24"/>
          <w:highlight w:val="none"/>
        </w:rPr>
        <w:t>避开学校等人员</w:t>
      </w:r>
      <w:r>
        <w:rPr>
          <w:rFonts w:ascii="宋体" w:eastAsia="宋体" w:hAnsi="宋体" w:cs="宋体"/>
          <w:sz w:val="24"/>
          <w:szCs w:val="24"/>
          <w:highlight w:val="none"/>
        </w:rPr>
        <w:t>密集的场所，</w:t>
      </w:r>
      <w:r>
        <w:rPr>
          <w:rFonts w:ascii="宋体" w:eastAsia="宋体" w:hAnsi="宋体" w:cs="宋体" w:hint="eastAsia"/>
          <w:sz w:val="24"/>
          <w:szCs w:val="24"/>
          <w:highlight w:val="none"/>
        </w:rPr>
        <w:t>新建基站或者架线等不得影响消防车道，消防车登高操作面。</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（二）规划思路</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紧抓北海市主动服务和融入“一带一路”的发展战略，以广泛覆盖、重点突破、跨越发展为主线，加大通信网络基础设施统筹，实施提升网络能力，成为的重要经济增长极提供战略支撑。加快信息资源的有效整合与共享交换，打破部门和地区界限，促进网络融合和系统的互联互通，提高信息化发展效益；全面落实工业与信息化部《关于推动5G加快发展的通知》、广西壮族自治区数字广西建设领导小组关于印发《广西加快5G产业发展行动计划（2019-2021年）》的通知(桂数广发〔2019〕4号)、《广西新型基础设施建设发展规划（2021-2035年）》、</w:t>
      </w:r>
      <w:r>
        <w:rPr>
          <w:rFonts w:ascii="宋体" w:eastAsia="宋体" w:hAnsi="宋体" w:cs="宋体" w:hint="eastAsia"/>
          <w:sz w:val="24"/>
          <w:highlight w:val="none"/>
        </w:rPr>
        <w:t>广西壮族自治区通信管理局等十七部门联合印发《关于进一步深化电信基础设施共建共享促进“双千兆”网络高质量发展的具体实施意见》（桂通管通[2023]94号）</w:t>
      </w:r>
      <w:r>
        <w:rPr>
          <w:rFonts w:ascii="宋体" w:eastAsia="宋体" w:hAnsi="宋体" w:cs="宋体" w:hint="eastAsia"/>
          <w:sz w:val="24"/>
          <w:szCs w:val="24"/>
          <w:highlight w:val="none"/>
        </w:rPr>
        <w:t>要求，以5G创新为动力，促进产业转型升级，推动数字广西建设，增强社会经济发展新动能，同时根据《关于推进电信基础设施共建共享支撑5G网络加快建设发展的实施意见》（工信部联通信〔2020〕78号）的意见，按照“坚持规划引领、加强统筹协调、完善市场机制、推进开放共享”的原则，开展通信基础设施专项规划编制工作，加强通信管线与其他管线综合规划，做好通信基础设施专项规划与城市协调衔接，推进5G通信基础设施和技术升级，提升5G通信网络覆盖范围和服务质量，促进5G通信基础设施又好又快发展。</w:t>
      </w:r>
    </w:p>
    <w:p>
      <w:pPr>
        <w:pStyle w:val="Heading3"/>
        <w:keepNext w:val="0"/>
        <w:keepLines w:val="0"/>
        <w:spacing w:line="360" w:lineRule="auto"/>
        <w:ind w:firstLine="420" w:firstLineChars="200"/>
        <w:rPr>
          <w:rFonts w:ascii="宋体" w:eastAsia="宋体" w:hAnsi="宋体" w:cs="宋体"/>
          <w:sz w:val="28"/>
          <w:szCs w:val="28"/>
          <w:highlight w:val="none"/>
        </w:rPr>
      </w:pPr>
      <w:bookmarkStart w:id="24" w:name="_Toc22003"/>
      <w:r>
        <w:rPr>
          <w:rFonts w:ascii="宋体" w:eastAsia="宋体" w:hAnsi="宋体" w:cs="宋体" w:hint="eastAsia"/>
          <w:sz w:val="28"/>
          <w:szCs w:val="28"/>
          <w:highlight w:val="none"/>
        </w:rPr>
        <w:t>八、规划技术路线</w:t>
      </w:r>
      <w:bookmarkEnd w:id="24"/>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本规划采用城市差异化覆盖的技术路线，将城市规划因子引入传统的无线规划模型中。在进行移动通信基站站址规划时，充分对城市规划进行分析，明确各地块的用途，结合实际无线网络情况，制定不同地块的覆盖需求及重点。同时在评估规划结果时，改变单纯从网络关键指标分析的形式，引入城市要素因子，全面地对网络进行评估。</w:t>
      </w:r>
    </w:p>
    <w:p>
      <w:pPr>
        <w:pStyle w:val="Heading3"/>
        <w:keepNext w:val="0"/>
        <w:keepLines w:val="0"/>
        <w:spacing w:line="360" w:lineRule="auto"/>
        <w:ind w:firstLine="420" w:firstLineChars="200"/>
        <w:rPr>
          <w:rFonts w:ascii="宋体" w:eastAsia="宋体" w:hAnsi="宋体" w:cs="宋体"/>
          <w:sz w:val="28"/>
          <w:szCs w:val="28"/>
          <w:highlight w:val="none"/>
        </w:rPr>
      </w:pPr>
      <w:bookmarkStart w:id="25" w:name="_Toc29628"/>
      <w:r>
        <w:rPr>
          <w:rFonts w:ascii="宋体" w:eastAsia="宋体" w:hAnsi="宋体" w:cs="宋体" w:hint="eastAsia"/>
          <w:sz w:val="28"/>
          <w:szCs w:val="28"/>
          <w:highlight w:val="none"/>
        </w:rPr>
        <w:t>九、规划结论</w:t>
      </w:r>
      <w:bookmarkEnd w:id="25"/>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本规划包含5G室外站、5G室分、重点机房、传输管道、光交节点、传输杆路等内容，同时考虑了相应的电源配套建设规划。规划期内，城区共储备3307个站址资源，其中存量基站1248个，新建基站2059个；规划新建室分站点数1013个；规划新建重点机房116个；规划新建传输管道802.021公里；规划新建光交节点3017个；规划新建传输杆路长度32.776公里；规划新增功耗26268KW。本规划结果能满足北海市规划期内的5G通信基础设施建设和业务发展要求，其成果应纳入与其相应的城乡（城镇）规划，经依法批准以后，作为规划管理的依据之一，同时与其他相关专项规划进行衔接。</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到2025年，实现市区、县城、乡镇以上区域连续覆盖，已通车高速铁路实现基本覆盖，重点保障科研教学区、垂直行业示范区、高新技术产业园、高流量商圈、政务中心等行业应用区域的5G网络覆盖。</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到2030年，逐步扩大5G网络覆盖范围，5G网络覆盖至高速公里、农村等区域。并进一步优化市区、县城、乡镇及行业应用区域的网络覆盖质量，全市5G网络达到国内领先的水平。无线、宽带网络对区域内有效覆盖面积覆盖率超95%；城市主干道路的通信管道覆盖率超95%；城区、乡镇、行政村实现多家运营商光宽带覆盖率超95%，机房及管道共建共享率目标超95%。</w:t>
      </w:r>
    </w:p>
    <w:p>
      <w:pPr>
        <w:spacing w:line="360" w:lineRule="auto"/>
        <w:rPr>
          <w:rFonts w:ascii="宋体" w:eastAsia="宋体" w:hAnsi="宋体" w:cs="宋体"/>
          <w:sz w:val="24"/>
          <w:highlight w:val="none"/>
        </w:rPr>
      </w:pPr>
    </w:p>
    <w:p>
      <w:pPr>
        <w:pStyle w:val="Heading2"/>
        <w:numPr>
          <w:ilvl w:val="0"/>
          <w:numId w:val="10"/>
        </w:numPr>
        <w:spacing w:before="260" w:after="260" w:line="360" w:lineRule="auto"/>
        <w:ind w:left="0"/>
        <w:rPr>
          <w:rFonts w:ascii="宋体" w:eastAsia="宋体" w:hAnsi="宋体" w:cs="宋体"/>
          <w:kern w:val="44"/>
          <w:sz w:val="32"/>
          <w:szCs w:val="32"/>
          <w:highlight w:val="none"/>
        </w:rPr>
      </w:pPr>
      <w:bookmarkStart w:id="26" w:name="_Toc23029"/>
      <w:r>
        <w:rPr>
          <w:rFonts w:ascii="宋体" w:eastAsia="宋体" w:hAnsi="宋体" w:cs="宋体" w:hint="eastAsia"/>
          <w:kern w:val="44"/>
          <w:sz w:val="32"/>
          <w:szCs w:val="32"/>
          <w:highlight w:val="none"/>
        </w:rPr>
        <w:t>相关政策规划解读</w:t>
      </w:r>
      <w:bookmarkEnd w:id="26"/>
      <w:r>
        <w:rPr>
          <w:rFonts w:ascii="宋体" w:eastAsia="宋体" w:hAnsi="宋体" w:cs="宋体" w:hint="eastAsia"/>
          <w:kern w:val="44"/>
          <w:sz w:val="32"/>
          <w:szCs w:val="32"/>
          <w:highlight w:val="none"/>
        </w:rPr>
        <w:tab/>
      </w:r>
    </w:p>
    <w:p>
      <w:pPr>
        <w:pStyle w:val="Heading3"/>
        <w:keepNext w:val="0"/>
        <w:keepLines w:val="0"/>
        <w:spacing w:line="360" w:lineRule="auto"/>
        <w:ind w:firstLine="420" w:firstLineChars="200"/>
        <w:rPr>
          <w:rFonts w:ascii="宋体" w:eastAsia="宋体" w:hAnsi="宋体" w:cs="宋体"/>
          <w:sz w:val="28"/>
          <w:szCs w:val="28"/>
          <w:highlight w:val="none"/>
        </w:rPr>
      </w:pPr>
      <w:bookmarkStart w:id="27" w:name="_Toc24365"/>
      <w:bookmarkStart w:id="28" w:name="_Toc30527"/>
      <w:r>
        <w:rPr>
          <w:rFonts w:ascii="宋体" w:eastAsia="宋体" w:hAnsi="宋体" w:cs="宋体" w:hint="eastAsia"/>
          <w:sz w:val="28"/>
          <w:szCs w:val="28"/>
          <w:highlight w:val="none"/>
        </w:rPr>
        <w:t>一、</w:t>
      </w:r>
      <w:bookmarkEnd w:id="27"/>
      <w:r>
        <w:rPr>
          <w:rFonts w:ascii="宋体" w:eastAsia="宋体" w:hAnsi="宋体" w:cs="宋体" w:hint="eastAsia"/>
          <w:sz w:val="28"/>
          <w:szCs w:val="28"/>
          <w:highlight w:val="none"/>
        </w:rPr>
        <w:t>北海市国土空间总体规划（2021-2035年）</w:t>
      </w:r>
      <w:bookmarkEnd w:id="28"/>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1、城市发展定位</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次规划范围以市域行政辖区为界，涵盖三区一县，即包括北海市区（海城区、银海区和铁山港区）和合浦县，陆海总面积为6997平方公里（其中陆域面积为3989平方公里，海域面积为3008公里），本次规划期限为2021-2035年。近期（2025年）；远期（2035年）。</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2、城市性质</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国际性滨海旅游宜居城市，国家历史文化名城，我国西南沿海重要门户和临港工贸城市。</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3、城市职能</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以休闲度假为主的国际滨海旅游目的地和区域性国际旅游集散服务中心；我国西南地区重要的高新技术产业、临港产业及海洋产业集聚基地；面向东盟、服务我国西南、中南地区的区域性商贸物流中心，21世纪“海上丝绸之路”重要门户；清洁型物资运输及以国际旅游为主的地区性重要港口；广西重要的科教文化基地。</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4、城市发展总体目标</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构建面向东盟、服务我国西南中南地区对外开放的战略支点和衔接21世纪“海上丝绸之路”与“丝绸之路经济带”的重要门户，将合浦县建设成为“国际度假胜地、生态休闲智城、特色文化名城、开放宜居珠城”。</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5、城市空间结构</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统筹城乡经济发展，努力提高城乡居民收入水平，做好基础设施和公共设施的共建共享，构建和谐社会。</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1、调整城乡产业结构，打破城乡分割的二元体系，将要素投入向农村、农业、农民倾斜，促进农业现代化发展。</w:t>
      </w:r>
    </w:p>
    <w:p>
      <w:pPr>
        <w:widowControl/>
        <w:spacing w:line="360" w:lineRule="auto"/>
        <w:ind w:firstLine="420" w:firstLineChars="200"/>
        <w:rPr>
          <w:highlight w:val="none"/>
        </w:rPr>
      </w:pPr>
      <w:r>
        <w:rPr>
          <w:rFonts w:ascii="宋体" w:eastAsia="宋体" w:hAnsi="宋体" w:cs="宋体" w:hint="eastAsia"/>
          <w:sz w:val="24"/>
          <w:highlight w:val="none"/>
        </w:rPr>
        <w:t>2、以三化带三农，即以工业化带动农民收入的提高，以城镇化带动农村劳动力的转移，以农村产业化带动农村经济效益的提高。</w:t>
      </w:r>
    </w:p>
    <w:p>
      <w:pPr>
        <w:pStyle w:val="Heading3"/>
        <w:keepNext w:val="0"/>
        <w:keepLines w:val="0"/>
        <w:spacing w:line="360" w:lineRule="auto"/>
        <w:ind w:firstLine="420" w:firstLineChars="200"/>
        <w:rPr>
          <w:rFonts w:ascii="宋体" w:eastAsia="宋体" w:hAnsi="宋体" w:cs="宋体"/>
          <w:sz w:val="28"/>
          <w:szCs w:val="28"/>
          <w:highlight w:val="none"/>
        </w:rPr>
      </w:pPr>
      <w:bookmarkStart w:id="29" w:name="_Toc5265"/>
      <w:bookmarkStart w:id="30" w:name="_Toc17267"/>
      <w:r>
        <w:rPr>
          <w:rFonts w:ascii="宋体" w:eastAsia="宋体" w:hAnsi="宋体" w:cs="宋体" w:hint="eastAsia"/>
          <w:sz w:val="28"/>
          <w:szCs w:val="28"/>
          <w:highlight w:val="none"/>
        </w:rPr>
        <w:t>二、通讯工程规划</w:t>
      </w:r>
      <w:bookmarkEnd w:id="29"/>
      <w:bookmarkEnd w:id="30"/>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1、《数字乡村发展战略纲要》（中共中央办公厅、国务院办公厅2019年5月）</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到2020年，数字乡村建设取得初步进展。全国行政村4G覆盖率超过98%，农村互联网普及率明显提升。农村数字经济快速发展，建成一批特色乡村文化数字资源库，“互联网 政务服务”加快向乡村延伸。网络扶贫行动向纵深发展，信息化在美丽宜居乡村建设中的作用更加显著。</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到2025年，数字乡村建设取得重要进展。乡村4G深化普及、5G创新应用，城乡“数字鸿沟”明显缩小。初步建成一批兼具创业孵化、技术创新、技能培训等功能于一体的新农民新技术创业创新中心，培育形成一批叫得响、质量优、特色显的农村电商产品品牌，基本形成乡村智慧物流配送体系。乡村网络文化繁荣发展，乡村数字治理体系日趋完善。</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到2035年，数字乡村建设取得长足进展。城乡“数字鸿沟”大幅缩小，农民数字化素养显著提升。农业农村现代化基本实现，城乡基本公共服务均等化基本实现，乡村治理体系和治理能力现代化基本实现，生态宜居的美丽乡村基本实现。</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到本世纪中叶，全面建成数字乡村，助力乡村全面振兴，全面实现农业强、农村美、农民富。</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2、《广西新型基础设施建设发展规划（2020-2025年）》</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到2022年，基本形成全区新型基础设施框架格局，中国一东盟信息港建设初显成效，县城以上城区和高速铁路实现5G网络布局，5G基站达到5万座，“一主一副”的数据中心空间布局基本形成，一批工业互联网，物联网、人工智能示范基地和应用场景初步培育，建成一批智慧城市、智慧乡村、智慧社区。全区数字产业化，产业数字化水平明显提升。</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到2025年，中国一东盟信息港全面建成，全区新型基础设施建设迈向国内领先水平。建成面向东盟的国际信息通信枢纽，5G基站达到10万座，高速公路实现5G布局，数据中达到100万标准机架，形成泛在感知、万物互联、数据智能、绿色安全的新型信息基础设施，推动交通、能源、水利、文化、教育、医疗、旅游、金融等与数字技术深度融合，城市建设、社会治理体系的数字化、网络化、智能化水平大幅提升，新型基础设施成为全区经济高质量发展的重要支撑，数字产业成为经济增长的支柱产业。</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3、《广西加快5G产业发展行动计划(2019-2021年)》(桂数广发〔2019〕4号)</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到2021年底，全区完成5G规模组网，14个设区市主要城区实现5G网络连续覆盖及商用，县乡重点区域开通5G网络及商用，全区5G基站累计规模确保达到4万座，力争达到5万座。其中，2019年底，全区5G基站规模确保达到3000座，力争达到6000座；2020年底，全区5G基站累计规模不少于2万座，实现14个设区市重点核心区域5G网络连续覆盖，8个设区市主要城区实现5G网络连续覆盖及商用。</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G基站建设规划由中国铁塔股份有限公司广西分公司（以下简称“铁塔公司”）会同各基础电信企业统筹提出。各设区市政府要根据现有土地利用总体规划和城乡规划，优先支持5G通信基础设施建设。5G基站建设规划应以市县国土空间规划为基础。2020年底前，各设区市政府要把5G基站建设规划纳入国土空间规划，要把5G建设所需的基站站址、传输机房及管线、电力等配套设施纳入市政基础设施专项规划，要把交通干线与重要交通枢纽场所5G基站纳入建设规划。各设区市政府要把5G网络站址、机房、电源、管道和天面等配建空间，同步落实到国土空间规划、城乡住房建设规划、交通设施规划等规划中。新建住宅与公共建筑的建设单位或项目业主，要严格执行国家相关规范和标准，在工程建设过程中，预留满足5G宏站、微站、室内分布系统、传输机房及管线等通信基础设施的安装空间。</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4、《广西通信管理局等十七部门关于进一步深化电信基础设施共建共享 促进“双千兆”网络高质量发展的具体实施意见》桂通管通〔2023〕94号</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（1）强化战略定位</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进一步强化电信基础设施的战略性、基础性、 先导性公共基础设施属性，推进各类场所空间和设施资源开放共享，积极支撑实体经济数字化、网络化、智能化转型升级。</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（2）加强统筹协调</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统筹电信基础设施系统与局部、增量与存量、行业内与行业间等协调发展，按照“集约利用存量资源、能共享 不新建”的原则，推进“双千兆”网络集约高效建设。</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（3）发挥市场作用</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充分发挥市场引导作用，调动市场主体积极性、主动性、创造性，不断优化建设模式，促进电信基础设施合理科学布局，加强竞争合规建设，努力实现竟合发展。</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（4）坚持精准施策</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准确把握电信基础设施共建共享工作的新特点，坚持目标导向和问题导向相结合，精准施策、靶向发力，着力解决突出的矛盾和问题，推进共建共享深化发展。</w:t>
      </w:r>
    </w:p>
    <w:p>
      <w:pPr>
        <w:pStyle w:val="Heading2"/>
        <w:spacing w:before="260" w:after="260" w:line="360" w:lineRule="auto"/>
        <w:ind w:left="0"/>
        <w:rPr>
          <w:rFonts w:ascii="宋体" w:eastAsia="宋体" w:hAnsi="宋体" w:cs="宋体"/>
          <w:sz w:val="32"/>
          <w:szCs w:val="32"/>
          <w:highlight w:val="none"/>
        </w:rPr>
      </w:pPr>
      <w:bookmarkStart w:id="31" w:name="_Toc30413"/>
      <w:r>
        <w:rPr>
          <w:rFonts w:ascii="宋体" w:eastAsia="宋体" w:hAnsi="宋体" w:cs="宋体" w:hint="eastAsia"/>
          <w:sz w:val="32"/>
          <w:szCs w:val="32"/>
          <w:highlight w:val="none"/>
        </w:rPr>
        <w:t>第三章 通讯基础设施现状</w:t>
      </w:r>
      <w:bookmarkEnd w:id="31"/>
    </w:p>
    <w:p>
      <w:pPr>
        <w:pStyle w:val="Heading3"/>
        <w:keepNext w:val="0"/>
        <w:keepLines w:val="0"/>
        <w:spacing w:line="360" w:lineRule="auto"/>
        <w:ind w:firstLine="420" w:firstLineChars="200"/>
        <w:rPr>
          <w:rFonts w:ascii="宋体" w:eastAsia="宋体" w:hAnsi="宋体" w:cs="宋体"/>
          <w:sz w:val="28"/>
          <w:szCs w:val="28"/>
          <w:highlight w:val="none"/>
        </w:rPr>
      </w:pPr>
      <w:bookmarkStart w:id="32" w:name="_Toc18508"/>
      <w:r>
        <w:rPr>
          <w:rFonts w:ascii="宋体" w:eastAsia="宋体" w:hAnsi="宋体" w:cs="宋体" w:hint="eastAsia"/>
          <w:sz w:val="28"/>
          <w:szCs w:val="28"/>
          <w:highlight w:val="none"/>
        </w:rPr>
        <w:t>一、区位条件</w:t>
      </w:r>
      <w:bookmarkEnd w:id="32"/>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北海开放历史悠久，文化底蕴深厚，是古代“海上丝绸之路”的重要始发港，是国家历史文化名城、广西北部湾经济区重要组成城市。北海区位优势突出，地处华南经济圈、西南经济圈和东盟经济圈的结合部，处于泛北部湾经济合作区域结合部的中心位置，是中国西部地区唯一列入全国首批14个进一步对外开放的沿海城市，也是中国西部唯一同时拥有深水海港、全天候机场、高速铁路和高速公路的城市。北海旅游资源丰富，生态环境优良，是享誉海内外的旅游休闲度假胜地。</w:t>
      </w:r>
    </w:p>
    <w:p>
      <w:pPr>
        <w:pStyle w:val="Heading3"/>
        <w:keepNext w:val="0"/>
        <w:keepLines w:val="0"/>
        <w:spacing w:line="360" w:lineRule="auto"/>
        <w:ind w:firstLine="420" w:firstLineChars="200"/>
        <w:rPr>
          <w:rFonts w:ascii="宋体" w:eastAsia="宋体" w:hAnsi="宋体" w:cs="宋体"/>
          <w:sz w:val="28"/>
          <w:szCs w:val="28"/>
          <w:highlight w:val="none"/>
        </w:rPr>
      </w:pPr>
      <w:bookmarkStart w:id="33" w:name="_Toc14039"/>
      <w:r>
        <w:rPr>
          <w:rFonts w:ascii="宋体" w:eastAsia="宋体" w:hAnsi="宋体" w:cs="宋体" w:hint="eastAsia"/>
          <w:sz w:val="28"/>
          <w:szCs w:val="28"/>
          <w:highlight w:val="none"/>
        </w:rPr>
        <w:t>二、行政区划</w:t>
      </w:r>
      <w:bookmarkEnd w:id="33"/>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一）海城区是北海市政治、经济、文化中心。辖区包括大陆区和海岛两大部分，总面积141.24平方公里。管辖涠洲镇和高德、驿马、东街、中街、西街、海角、地角7个街道办事处，19个村委会、45个社区居委会，总人口52.7895万。</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（二）银海区辖4个镇：福成镇、平阳镇、侨港镇、银滩镇，40个村委会、8个社区居委会，总人口31.85万人。</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（三）铁山港区辖3个镇：南康镇、营盘镇、兴港镇，37个村委会、5个社区居委会，总人口14.75万。</w:t>
      </w:r>
    </w:p>
    <w:p>
      <w:pPr>
        <w:pStyle w:val="Heading3"/>
        <w:keepNext w:val="0"/>
        <w:keepLines w:val="0"/>
        <w:spacing w:line="360" w:lineRule="auto"/>
        <w:ind w:firstLine="420" w:firstLineChars="200"/>
        <w:rPr>
          <w:rFonts w:ascii="宋体" w:eastAsia="宋体" w:hAnsi="宋体" w:cs="宋体"/>
          <w:sz w:val="28"/>
          <w:szCs w:val="28"/>
          <w:highlight w:val="none"/>
        </w:rPr>
      </w:pPr>
      <w:bookmarkStart w:id="34" w:name="_Toc4370"/>
      <w:r>
        <w:rPr>
          <w:rFonts w:ascii="宋体" w:eastAsia="宋体" w:hAnsi="宋体" w:cs="宋体" w:hint="eastAsia"/>
          <w:sz w:val="28"/>
          <w:szCs w:val="28"/>
          <w:highlight w:val="none"/>
        </w:rPr>
        <w:t>三、通信网络信息化发展现状</w:t>
      </w:r>
      <w:bookmarkEnd w:id="34"/>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随着信息化的发展，网络已渗透到社会的方方面面。人们对随时随地能够使用网络，并畅游网络世界的需求感越来越强烈。为了满足人们使用无线网络的美好愿景，电信企业加快了5G网络建设，推进网络承载能力不断增强。用户体验越来越好，移动用户不断增长。</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根据工业和信息化部数据，截至2022年7月，全国所有地级市城区、县城城区和96%的乡镇镇区实现5G网络覆盖，整体上电信运营商toC大网建设高峰期已过，后续投入将趋缓。宏站室外连续覆盖基本完成，下一步网络建设重点将转向室内覆盖和深度覆盖，小基站的需求和机会凸显。toB专网作为5G市场拓展的战略方向开始进入规模化发展阶段。最新数据显示，我国已经部署5G专网超过5300个，2022年10月工信部向中国商飞公司发放了首个5G专网频率许可，在垂直行业探索独立专网建设和运营模式方面迈出了重要一步。5G专网建设的提速将赋能更多的垂直行业应用场景，核心网作为全接入和全业务的控制中心，要求具备业务的高可用性和故障快速恢复的能力，以及多制式网络的统一接入和统一纳管能力，从而为行业用户实现网络价值最大化，促进行业应用的快速落地和规模化发展。</w:t>
      </w:r>
    </w:p>
    <w:p>
      <w:pPr>
        <w:pStyle w:val="Heading3"/>
        <w:keepNext w:val="0"/>
        <w:keepLines w:val="0"/>
        <w:spacing w:line="360" w:lineRule="auto"/>
        <w:ind w:firstLine="420" w:firstLineChars="200"/>
        <w:rPr>
          <w:rFonts w:ascii="宋体" w:eastAsia="宋体" w:hAnsi="宋体" w:cs="宋体"/>
          <w:sz w:val="28"/>
          <w:szCs w:val="28"/>
          <w:highlight w:val="none"/>
        </w:rPr>
      </w:pPr>
      <w:bookmarkStart w:id="35" w:name="_Toc25600"/>
      <w:r>
        <w:rPr>
          <w:rFonts w:ascii="宋体" w:eastAsia="宋体" w:hAnsi="宋体" w:cs="宋体" w:hint="eastAsia"/>
          <w:sz w:val="28"/>
          <w:szCs w:val="28"/>
          <w:highlight w:val="none"/>
        </w:rPr>
        <w:t>四、通信基础设施现状概况</w:t>
      </w:r>
      <w:bookmarkEnd w:id="35"/>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（一）通信基站和通信机房现状</w:t>
      </w:r>
    </w:p>
    <w:p>
      <w:pPr>
        <w:spacing w:line="360" w:lineRule="auto"/>
        <w:ind w:firstLine="420" w:firstLineChars="200"/>
        <w:rPr>
          <w:sz w:val="24"/>
          <w:szCs w:val="24"/>
          <w:highlight w:val="none"/>
        </w:rPr>
      </w:pPr>
      <w:r>
        <w:rPr>
          <w:rFonts w:ascii="宋体" w:eastAsia="宋体" w:hAnsi="宋体" w:cs="宋体" w:hint="eastAsia"/>
          <w:sz w:val="24"/>
          <w:szCs w:val="24"/>
          <w:highlight w:val="none"/>
        </w:rPr>
        <w:t>截止至2023年中，北海市共有宏站站点1248个，室分站点426个，重点机房36个。各城区通信基站和通信机房现状详见下表所示：</w:t>
      </w:r>
    </w:p>
    <w:p>
      <w:pPr>
        <w:ind w:firstLine="480"/>
        <w:jc w:val="center"/>
        <w:rPr>
          <w:rFonts w:ascii="宋体" w:eastAsia="宋体" w:hAnsi="宋体" w:cs="宋体"/>
          <w:szCs w:val="21"/>
          <w:highlight w:val="none"/>
        </w:rPr>
      </w:pPr>
      <w:r>
        <w:rPr>
          <w:rFonts w:ascii="宋体" w:eastAsia="宋体" w:hAnsi="宋体" w:cs="宋体" w:hint="eastAsia"/>
          <w:szCs w:val="21"/>
          <w:highlight w:val="none"/>
        </w:rPr>
        <w:t>表3-1 通信基站和通信机房现状</w:t>
      </w:r>
    </w:p>
    <w:tbl>
      <w:tblPr>
        <w:tblStyle w:val="TableNormal"/>
        <w:tblW w:w="4415"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blGrid>
        <w:gridCol w:w="1772"/>
        <w:gridCol w:w="2647"/>
        <w:gridCol w:w="2213"/>
        <w:gridCol w:w="2214"/>
      </w:tblGrid>
      <w:tr>
        <w:tblPrEx>
          <w:tblW w:w="4415"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Ex>
        <w:trPr>
          <w:trHeight w:val="562"/>
          <w:jc w:val="center"/>
        </w:trPr>
        <w:tc>
          <w:tcPr>
            <w:tcW w:w="1002" w:type="pct"/>
            <w:shd w:val="clear" w:color="auto" w:fill="auto"/>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区县</w:t>
            </w:r>
          </w:p>
        </w:tc>
        <w:tc>
          <w:tcPr>
            <w:tcW w:w="1496" w:type="pct"/>
            <w:shd w:val="clear" w:color="auto" w:fill="auto"/>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宏站站点数</w:t>
            </w:r>
          </w:p>
        </w:tc>
        <w:tc>
          <w:tcPr>
            <w:tcW w:w="1251" w:type="pct"/>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室分站点数</w:t>
            </w:r>
          </w:p>
        </w:tc>
        <w:tc>
          <w:tcPr>
            <w:tcW w:w="1251" w:type="pct"/>
            <w:shd w:val="clear" w:color="auto" w:fill="auto"/>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重点机房数</w:t>
            </w:r>
          </w:p>
        </w:tc>
      </w:tr>
      <w:tr>
        <w:tblPrEx>
          <w:tblW w:w="4415" w:type="pct"/>
          <w:jc w:val="center"/>
          <w:tblCellMar>
            <w:top w:w="0" w:type="dxa"/>
            <w:left w:w="108" w:type="dxa"/>
            <w:bottom w:w="0" w:type="dxa"/>
            <w:right w:w="108" w:type="dxa"/>
          </w:tblCellMar>
        </w:tblPrEx>
        <w:trPr>
          <w:trHeight w:val="270"/>
          <w:jc w:val="center"/>
        </w:trPr>
        <w:tc>
          <w:tcPr>
            <w:tcW w:w="1002"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1496"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436</w:t>
            </w:r>
          </w:p>
        </w:tc>
        <w:tc>
          <w:tcPr>
            <w:tcW w:w="1251" w:type="pct"/>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122</w:t>
            </w:r>
          </w:p>
        </w:tc>
        <w:tc>
          <w:tcPr>
            <w:tcW w:w="1251"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6</w:t>
            </w:r>
          </w:p>
        </w:tc>
      </w:tr>
      <w:tr>
        <w:tblPrEx>
          <w:tblW w:w="4415" w:type="pct"/>
          <w:jc w:val="center"/>
          <w:tblCellMar>
            <w:top w:w="0" w:type="dxa"/>
            <w:left w:w="108" w:type="dxa"/>
            <w:bottom w:w="0" w:type="dxa"/>
            <w:right w:w="108" w:type="dxa"/>
          </w:tblCellMar>
        </w:tblPrEx>
        <w:trPr>
          <w:trHeight w:val="270"/>
          <w:jc w:val="center"/>
        </w:trPr>
        <w:tc>
          <w:tcPr>
            <w:tcW w:w="1002"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1496"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580</w:t>
            </w:r>
          </w:p>
        </w:tc>
        <w:tc>
          <w:tcPr>
            <w:tcW w:w="1251" w:type="pct"/>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299</w:t>
            </w:r>
          </w:p>
        </w:tc>
        <w:tc>
          <w:tcPr>
            <w:tcW w:w="1251"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8</w:t>
            </w:r>
          </w:p>
        </w:tc>
      </w:tr>
      <w:tr>
        <w:tblPrEx>
          <w:tblW w:w="4415" w:type="pct"/>
          <w:jc w:val="center"/>
          <w:tblCellMar>
            <w:top w:w="0" w:type="dxa"/>
            <w:left w:w="108" w:type="dxa"/>
            <w:bottom w:w="0" w:type="dxa"/>
            <w:right w:w="108" w:type="dxa"/>
          </w:tblCellMar>
        </w:tblPrEx>
        <w:trPr>
          <w:trHeight w:val="270"/>
          <w:jc w:val="center"/>
        </w:trPr>
        <w:tc>
          <w:tcPr>
            <w:tcW w:w="1002"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1496"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232</w:t>
            </w:r>
          </w:p>
        </w:tc>
        <w:tc>
          <w:tcPr>
            <w:tcW w:w="1251" w:type="pct"/>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w:t>
            </w:r>
          </w:p>
        </w:tc>
        <w:tc>
          <w:tcPr>
            <w:tcW w:w="1251"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w:t>
            </w:r>
          </w:p>
        </w:tc>
      </w:tr>
      <w:tr>
        <w:tblPrEx>
          <w:tblW w:w="4415" w:type="pct"/>
          <w:jc w:val="center"/>
          <w:tblCellMar>
            <w:top w:w="0" w:type="dxa"/>
            <w:left w:w="108" w:type="dxa"/>
            <w:bottom w:w="0" w:type="dxa"/>
            <w:right w:w="108" w:type="dxa"/>
          </w:tblCellMar>
        </w:tblPrEx>
        <w:trPr>
          <w:trHeight w:val="270"/>
          <w:jc w:val="center"/>
        </w:trPr>
        <w:tc>
          <w:tcPr>
            <w:tcW w:w="1002" w:type="pct"/>
            <w:shd w:val="clear" w:color="auto" w:fill="auto"/>
            <w:noWrap/>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总计</w:t>
            </w:r>
          </w:p>
        </w:tc>
        <w:tc>
          <w:tcPr>
            <w:tcW w:w="1496"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1248</w:t>
            </w:r>
          </w:p>
        </w:tc>
        <w:tc>
          <w:tcPr>
            <w:tcW w:w="1251" w:type="pct"/>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426</w:t>
            </w:r>
          </w:p>
        </w:tc>
        <w:tc>
          <w:tcPr>
            <w:tcW w:w="1251"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36</w:t>
            </w:r>
          </w:p>
        </w:tc>
      </w:tr>
    </w:tbl>
    <w:p>
      <w:pPr>
        <w:spacing w:line="360" w:lineRule="auto"/>
        <w:ind w:firstLine="630" w:firstLineChars="3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1、</w:t>
      </w:r>
      <w:r>
        <w:rPr>
          <w:rFonts w:ascii="Times New Roman" w:eastAsia="宋体" w:hAnsi="Times New Roman" w:cs="Times New Roman"/>
          <w:sz w:val="24"/>
          <w:szCs w:val="24"/>
          <w:highlight w:val="none"/>
        </w:rPr>
        <w:t>通信杆路资源现状评估：</w:t>
      </w:r>
    </w:p>
    <w:p>
      <w:pPr>
        <w:pStyle w:val="ListParagraph"/>
        <w:numPr>
          <w:ilvl w:val="0"/>
          <w:numId w:val="11"/>
        </w:numPr>
        <w:spacing w:before="156" w:beforeLines="50" w:line="360" w:lineRule="auto"/>
        <w:ind w:left="0" w:firstLine="482" w:firstLineChars="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由于城市发展迅速，部分地区楼宇密度不断增大，楼宇高度、楼宇格局不断变化，网络覆盖环境不断复杂，导致密集城区内存在相当数量的覆盖盲区，同时房地产业的迅猛发展，城市中的大楼盘，CBD等商圈越来越密集，导致这些区域的深度覆盖和超层覆盖也存在盲区；在部分农村自然村地区，由于用户量少，投资回报率低，也存在基站建设量少的情况，导致广覆盖不足。</w:t>
      </w:r>
    </w:p>
    <w:p>
      <w:pPr>
        <w:pStyle w:val="ListParagraph"/>
        <w:numPr>
          <w:ilvl w:val="0"/>
          <w:numId w:val="11"/>
        </w:numPr>
        <w:spacing w:line="360" w:lineRule="auto"/>
        <w:ind w:left="0" w:firstLine="480" w:firstLineChars="0"/>
        <w:jc w:val="left"/>
        <w:rPr>
          <w:rFonts w:ascii="宋体" w:eastAsia="宋体" w:hAnsi="宋体" w:cs="宋体"/>
          <w:b/>
          <w:bCs/>
          <w:sz w:val="24"/>
          <w:highlight w:val="none"/>
        </w:rPr>
      </w:pPr>
      <w:r>
        <w:rPr>
          <w:rFonts w:ascii="Times New Roman" w:eastAsia="宋体" w:hAnsi="Times New Roman" w:cs="Times New Roman"/>
          <w:sz w:val="24"/>
          <w:szCs w:val="24"/>
          <w:highlight w:val="none"/>
        </w:rPr>
        <w:t>为满足5G建设需求，电源配套面临大量改造。按照BBU+3AAU配置，主流厂家典型峰值功耗约4kW左右，另外新增传输设备1kW左右功耗，1个典型的5G基站所需新增功耗约为5kW；4G典型配置整机功耗约1.2kW，5G相当于4G功耗4倍。5G功耗的大幅增加，将给基站的交流供电系统和直流供电系统带来巨大挑战。</w:t>
      </w:r>
    </w:p>
    <w:p>
      <w:pPr>
        <w:numPr>
          <w:ilvl w:val="0"/>
          <w:numId w:val="12"/>
        </w:numPr>
        <w:spacing w:line="360" w:lineRule="auto"/>
        <w:ind w:firstLine="420" w:firstLineChars="2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重点机房</w:t>
      </w:r>
      <w:r>
        <w:rPr>
          <w:rFonts w:ascii="Times New Roman" w:eastAsia="宋体" w:hAnsi="Times New Roman" w:cs="Times New Roman"/>
          <w:sz w:val="24"/>
          <w:szCs w:val="24"/>
          <w:highlight w:val="none"/>
        </w:rPr>
        <w:t>现状评估：</w:t>
      </w:r>
    </w:p>
    <w:p>
      <w:pPr>
        <w:spacing w:line="360" w:lineRule="auto"/>
        <w:ind w:firstLine="420" w:firstLineChars="2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（1）</w:t>
      </w:r>
      <w:r>
        <w:rPr>
          <w:rFonts w:ascii="Times New Roman" w:eastAsia="宋体" w:hAnsi="Times New Roman" w:cs="Times New Roman"/>
          <w:sz w:val="24"/>
          <w:szCs w:val="24"/>
          <w:highlight w:val="none"/>
        </w:rPr>
        <w:t>机房在规划区域内分布不均，造成线缆出线重复路由过多、通信设施无法很好的衔接，</w:t>
      </w:r>
      <w:r>
        <w:rPr>
          <w:rFonts w:ascii="Times New Roman" w:eastAsia="宋体" w:hAnsi="Times New Roman" w:cs="Times New Roman" w:hint="eastAsia"/>
          <w:sz w:val="24"/>
          <w:szCs w:val="24"/>
          <w:highlight w:val="none"/>
        </w:rPr>
        <w:t>中心城</w:t>
      </w:r>
      <w:r>
        <w:rPr>
          <w:rFonts w:ascii="Times New Roman" w:eastAsia="宋体" w:hAnsi="Times New Roman" w:cs="Times New Roman"/>
          <w:sz w:val="24"/>
          <w:szCs w:val="24"/>
          <w:highlight w:val="none"/>
        </w:rPr>
        <w:t>区、</w:t>
      </w:r>
      <w:r>
        <w:rPr>
          <w:rFonts w:ascii="Times New Roman" w:eastAsia="宋体" w:hAnsi="Times New Roman" w:cs="Times New Roman" w:hint="eastAsia"/>
          <w:sz w:val="24"/>
          <w:szCs w:val="24"/>
          <w:highlight w:val="none"/>
        </w:rPr>
        <w:t>铁山港区均</w:t>
      </w:r>
      <w:r>
        <w:rPr>
          <w:rFonts w:ascii="Times New Roman" w:eastAsia="宋体" w:hAnsi="Times New Roman" w:cs="Times New Roman"/>
          <w:sz w:val="24"/>
          <w:szCs w:val="24"/>
          <w:highlight w:val="none"/>
        </w:rPr>
        <w:t>需新增综合接入机房覆盖。</w:t>
      </w:r>
    </w:p>
    <w:p>
      <w:pPr>
        <w:spacing w:line="360" w:lineRule="auto"/>
        <w:ind w:firstLine="420" w:firstLineChars="2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（2）</w:t>
      </w:r>
      <w:r>
        <w:rPr>
          <w:rFonts w:ascii="Times New Roman" w:eastAsia="宋体" w:hAnsi="Times New Roman" w:cs="Times New Roman"/>
          <w:sz w:val="24"/>
          <w:szCs w:val="24"/>
          <w:highlight w:val="none"/>
        </w:rPr>
        <w:t>目前大多机房以“转供电”的方式供电，由于5G供电需求更大，“转供电”的费用会更高。</w:t>
      </w:r>
    </w:p>
    <w:p>
      <w:pPr>
        <w:spacing w:line="360" w:lineRule="auto"/>
        <w:ind w:firstLine="420" w:firstLineChars="200"/>
        <w:jc w:val="left"/>
        <w:rPr>
          <w:rFonts w:ascii="宋体" w:eastAsia="宋体" w:hAnsi="宋体" w:cs="宋体"/>
          <w:b/>
          <w:bCs/>
          <w:sz w:val="24"/>
          <w:highlight w:val="none"/>
        </w:rPr>
      </w:pPr>
      <w:r>
        <w:rPr>
          <w:rFonts w:ascii="Times New Roman" w:eastAsia="宋体" w:hAnsi="Times New Roman" w:cs="Times New Roman" w:hint="eastAsia"/>
          <w:sz w:val="24"/>
          <w:szCs w:val="24"/>
          <w:highlight w:val="none"/>
        </w:rPr>
        <w:t>（3）</w:t>
      </w:r>
      <w:r>
        <w:rPr>
          <w:rFonts w:ascii="Times New Roman" w:eastAsia="宋体" w:hAnsi="Times New Roman" w:cs="Times New Roman"/>
          <w:sz w:val="24"/>
          <w:szCs w:val="24"/>
          <w:highlight w:val="none"/>
        </w:rPr>
        <w:t>综合接入机房覆盖较为薄弱，规划区内每综合接入机房覆盖约7.2平方公里，无法满足5G接入站址密集覆盖需求，综合接入机房也可利用较大的基站，在空间、电源等影响因素都满足的情况下作为综合接入机房使用。</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（4）机房应形成分层分级，覆盖全网络的机房布局。重点机房规划根据发展需求从以下几个方面考虑：</w:t>
      </w:r>
    </w:p>
    <w:p>
      <w:pPr>
        <w:tabs>
          <w:tab w:val="left" w:pos="720"/>
        </w:tabs>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一类机房：骨干网络节点机房，主要布置核心网设备、多媒体网关以及数据中心等核心设备，面积不宜小于500平方米。</w:t>
      </w:r>
    </w:p>
    <w:p>
      <w:pPr>
        <w:tabs>
          <w:tab w:val="left" w:pos="720"/>
        </w:tabs>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二类机房：传输节点机房，主要实现本地网的传输收敛，包括光传输综合接入机房、汇聚机房、光缆干线机房等，面积不宜小于300平方米。</w:t>
      </w:r>
    </w:p>
    <w:p>
      <w:pPr>
        <w:tabs>
          <w:tab w:val="left" w:pos="720"/>
        </w:tabs>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三类机房：汇聚机房，区域网络覆盖信息流和能源流的汇集中心。面积不宜小于80平方米。</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四类机房：综合接入机房，用于无线基站设备集中放置、集中供备电、集中传输。面积不宜小于40平方米。</w:t>
      </w:r>
    </w:p>
    <w:p>
      <w:pPr>
        <w:spacing w:line="360" w:lineRule="auto"/>
        <w:ind w:firstLine="420" w:firstLineChars="200"/>
        <w:rPr>
          <w:rFonts w:ascii="宋体" w:eastAsia="宋体" w:hAnsi="宋体" w:cs="宋体" w:hint="eastAsia"/>
          <w:sz w:val="24"/>
          <w:szCs w:val="24"/>
          <w:highlight w:val="none"/>
        </w:rPr>
      </w:pPr>
      <w:r>
        <w:rPr>
          <w:rFonts w:ascii="宋体" w:eastAsia="宋体" w:hAnsi="宋体" w:cs="宋体" w:hint="eastAsia"/>
          <w:sz w:val="24"/>
          <w:szCs w:val="24"/>
          <w:highlight w:val="none"/>
        </w:rPr>
        <w:t>目前在北海市规划区域内，四家通信运营商共有四大类重点机房36个，其中重要机房（一类）2个，核心机房（二类）总数为12个，汇聚机房（三类）总数为18个，综合业务接入机房（四类）总数为4个。</w:t>
      </w:r>
    </w:p>
    <w:p>
      <w:pPr>
        <w:spacing w:line="360" w:lineRule="auto"/>
        <w:rPr>
          <w:rFonts w:ascii="宋体" w:eastAsia="宋体" w:hAnsi="宋体" w:cs="宋体"/>
          <w:sz w:val="24"/>
          <w:szCs w:val="24"/>
          <w:highlight w:val="none"/>
        </w:rPr>
      </w:pPr>
      <w:r>
        <w:rPr>
          <w:rFonts w:ascii="宋体" w:eastAsia="宋体" w:hAnsi="宋体" w:cs="宋体" w:hint="eastAsia"/>
          <w:sz w:val="24"/>
          <w:szCs w:val="24"/>
          <w:highlight w:val="none"/>
        </w:rPr>
        <w:t xml:space="preserve">   （注：本规划各类机房面积大小最终以各运营商统计的实际需求结合落地实施方案面积为准。）</w:t>
      </w:r>
    </w:p>
    <w:p>
      <w:pPr>
        <w:ind w:firstLine="480"/>
        <w:jc w:val="center"/>
        <w:rPr>
          <w:rFonts w:ascii="宋体" w:eastAsia="宋体" w:hAnsi="宋体" w:cs="宋体" w:hint="eastAsia"/>
          <w:szCs w:val="21"/>
          <w:highlight w:val="none"/>
        </w:rPr>
      </w:pPr>
      <w:r>
        <w:rPr>
          <w:rFonts w:ascii="宋体" w:eastAsia="宋体" w:hAnsi="宋体" w:cs="宋体" w:hint="eastAsia"/>
          <w:szCs w:val="21"/>
          <w:highlight w:val="none"/>
        </w:rPr>
        <w:t>表3-</w:t>
      </w:r>
      <w:r>
        <w:rPr>
          <w:rFonts w:ascii="宋体" w:eastAsia="宋体" w:hAnsi="宋体" w:cs="宋体"/>
          <w:szCs w:val="21"/>
          <w:highlight w:val="none"/>
        </w:rPr>
        <w:t xml:space="preserve">2 </w:t>
      </w:r>
      <w:r>
        <w:rPr>
          <w:rFonts w:ascii="宋体" w:eastAsia="宋体" w:hAnsi="宋体" w:cs="宋体" w:hint="eastAsia"/>
          <w:b/>
          <w:bCs/>
          <w:color w:val="000000" w:themeColor="text1"/>
          <w:szCs w:val="18"/>
          <w:highlight w:val="none"/>
          <w14:textFill>
            <w14:solidFill>
              <w14:schemeClr w14:val="tx1"/>
            </w14:solidFill>
          </w14:textFill>
        </w:rPr>
        <w:t>重点机房需求表</w:t>
      </w:r>
    </w:p>
    <w:tbl>
      <w:tblPr>
        <w:tblStyle w:val="TableNormal"/>
        <w:tblW w:w="920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CellMar>
          <w:top w:w="0" w:type="dxa"/>
          <w:left w:w="0" w:type="dxa"/>
          <w:bottom w:w="0" w:type="dxa"/>
          <w:right w:w="0" w:type="dxa"/>
        </w:tblCellMar>
      </w:tblPr>
      <w:tblGrid>
        <w:gridCol w:w="874"/>
        <w:gridCol w:w="943"/>
        <w:gridCol w:w="1008"/>
        <w:gridCol w:w="993"/>
        <w:gridCol w:w="1134"/>
        <w:gridCol w:w="992"/>
        <w:gridCol w:w="992"/>
        <w:gridCol w:w="1134"/>
        <w:gridCol w:w="1134"/>
      </w:tblGrid>
      <w:tr>
        <w:tblPrEx>
          <w:tblW w:w="920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CellMar>
            <w:top w:w="0" w:type="dxa"/>
            <w:left w:w="0" w:type="dxa"/>
            <w:bottom w:w="0" w:type="dxa"/>
            <w:right w:w="0" w:type="dxa"/>
          </w:tblCellMar>
        </w:tblPrEx>
        <w:trPr>
          <w:trHeight w:val="451"/>
          <w:jc w:val="center"/>
        </w:trPr>
        <w:tc>
          <w:tcPr>
            <w:tcW w:w="874" w:type="dxa"/>
            <w:vMerge w:val="restart"/>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区县</w:t>
            </w:r>
          </w:p>
        </w:tc>
        <w:tc>
          <w:tcPr>
            <w:tcW w:w="1951" w:type="dxa"/>
            <w:gridSpan w:val="2"/>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一类重点机房数</w:t>
            </w:r>
          </w:p>
        </w:tc>
        <w:tc>
          <w:tcPr>
            <w:tcW w:w="2127" w:type="dxa"/>
            <w:gridSpan w:val="2"/>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二类重点机房数</w:t>
            </w:r>
          </w:p>
        </w:tc>
        <w:tc>
          <w:tcPr>
            <w:tcW w:w="1984" w:type="dxa"/>
            <w:gridSpan w:val="2"/>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三类重点机房数</w:t>
            </w:r>
          </w:p>
        </w:tc>
        <w:tc>
          <w:tcPr>
            <w:tcW w:w="2268" w:type="dxa"/>
            <w:gridSpan w:val="2"/>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nt="eastAsia"/>
                <w:b/>
                <w:bCs/>
                <w:highlight w:val="none"/>
              </w:rPr>
            </w:pPr>
            <w:r>
              <w:rPr>
                <w:rFonts w:ascii="宋体" w:eastAsia="宋体" w:hAnsi="宋体" w:cs="宋体" w:hint="eastAsia"/>
                <w:b/>
                <w:bCs/>
                <w:highlight w:val="none"/>
              </w:rPr>
              <w:t>四类重点机房数</w:t>
            </w:r>
          </w:p>
        </w:tc>
      </w:tr>
      <w:tr>
        <w:tblPrEx>
          <w:tblW w:w="9204" w:type="dxa"/>
          <w:jc w:val="center"/>
          <w:shd w:val="clear" w:color="auto" w:fill="FFFFFF" w:themeFill="background1"/>
          <w:tblCellMar>
            <w:top w:w="0" w:type="dxa"/>
            <w:left w:w="0" w:type="dxa"/>
            <w:bottom w:w="0" w:type="dxa"/>
            <w:right w:w="0" w:type="dxa"/>
          </w:tblCellMar>
        </w:tblPrEx>
        <w:trPr>
          <w:trHeight w:val="531"/>
          <w:jc w:val="center"/>
        </w:trPr>
        <w:tc>
          <w:tcPr>
            <w:tcW w:w="874" w:type="dxa"/>
            <w:vMerge/>
            <w:shd w:val="clear" w:color="auto" w:fill="FFFFFF" w:themeFill="background1"/>
            <w:vAlign w:val="center"/>
          </w:tcPr>
          <w:p>
            <w:pPr>
              <w:spacing w:line="360" w:lineRule="auto"/>
              <w:rPr>
                <w:rFonts w:ascii="宋体" w:eastAsia="宋体" w:hAnsi="宋体" w:cs="宋体"/>
                <w:highlight w:val="none"/>
              </w:rPr>
            </w:pPr>
          </w:p>
        </w:tc>
        <w:tc>
          <w:tcPr>
            <w:tcW w:w="943"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数量（个）</w:t>
            </w:r>
          </w:p>
        </w:tc>
        <w:tc>
          <w:tcPr>
            <w:tcW w:w="1008"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面积（m²）</w:t>
            </w:r>
          </w:p>
        </w:tc>
        <w:tc>
          <w:tcPr>
            <w:tcW w:w="993"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数量（个）</w:t>
            </w:r>
          </w:p>
        </w:tc>
        <w:tc>
          <w:tcPr>
            <w:tcW w:w="1134"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面积（m²）</w:t>
            </w:r>
          </w:p>
        </w:tc>
        <w:tc>
          <w:tcPr>
            <w:tcW w:w="992"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数量（个）</w:t>
            </w:r>
          </w:p>
        </w:tc>
        <w:tc>
          <w:tcPr>
            <w:tcW w:w="992"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面积（m²）</w:t>
            </w:r>
          </w:p>
        </w:tc>
        <w:tc>
          <w:tcPr>
            <w:tcW w:w="1134"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b/>
                <w:bCs/>
                <w:highlight w:val="none"/>
              </w:rPr>
              <w:t>数量（个）</w:t>
            </w:r>
          </w:p>
        </w:tc>
        <w:tc>
          <w:tcPr>
            <w:tcW w:w="1134" w:type="dxa"/>
            <w:shd w:val="clear" w:color="auto" w:fill="FFFFFF" w:themeFill="background1"/>
            <w:vAlign w:val="center"/>
          </w:tcPr>
          <w:p>
            <w:pPr>
              <w:spacing w:line="360" w:lineRule="auto"/>
              <w:rPr>
                <w:rFonts w:ascii="宋体" w:eastAsia="宋体" w:hAnsi="宋体" w:cs="宋体" w:hint="eastAsia"/>
                <w:b/>
                <w:bCs/>
                <w:highlight w:val="none"/>
              </w:rPr>
            </w:pPr>
            <w:r>
              <w:rPr>
                <w:rFonts w:ascii="宋体" w:eastAsia="宋体" w:hAnsi="宋体" w:cs="宋体" w:hint="eastAsia"/>
                <w:b/>
                <w:bCs/>
                <w:highlight w:val="none"/>
              </w:rPr>
              <w:t>面积（m²）</w:t>
            </w:r>
          </w:p>
        </w:tc>
      </w:tr>
      <w:tr>
        <w:tblPrEx>
          <w:tblW w:w="9204" w:type="dxa"/>
          <w:jc w:val="center"/>
          <w:shd w:val="clear" w:color="auto" w:fill="FFFFFF" w:themeFill="background1"/>
          <w:tblCellMar>
            <w:top w:w="0" w:type="dxa"/>
            <w:left w:w="0" w:type="dxa"/>
            <w:bottom w:w="0" w:type="dxa"/>
            <w:right w:w="0" w:type="dxa"/>
          </w:tblCellMar>
        </w:tblPrEx>
        <w:trPr>
          <w:trHeight w:val="573"/>
          <w:jc w:val="center"/>
        </w:trPr>
        <w:tc>
          <w:tcPr>
            <w:tcW w:w="874"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highlight w:val="none"/>
              </w:rPr>
              <w:t>银海区</w:t>
            </w:r>
          </w:p>
        </w:tc>
        <w:tc>
          <w:tcPr>
            <w:tcW w:w="94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1008"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99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5</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360</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1134" w:type="dxa"/>
            <w:shd w:val="clear" w:color="auto" w:fill="FFFFFF" w:themeFill="background1"/>
            <w:vAlign w:val="center"/>
          </w:tcPr>
          <w:p>
            <w:pPr>
              <w:spacing w:line="360" w:lineRule="auto"/>
              <w:jc w:val="center"/>
              <w:rPr>
                <w:rFonts w:ascii="宋体" w:eastAsia="宋体" w:hAnsi="宋体" w:cs="宋体" w:hint="eastAsia"/>
                <w:highlight w:val="none"/>
              </w:rPr>
            </w:pPr>
            <w:r>
              <w:rPr>
                <w:rFonts w:ascii="宋体" w:eastAsia="宋体" w:hAnsi="宋体" w:cs="宋体" w:hint="eastAsia"/>
                <w:highlight w:val="none"/>
              </w:rPr>
              <w:t>0</w:t>
            </w:r>
          </w:p>
        </w:tc>
      </w:tr>
      <w:tr>
        <w:tblPrEx>
          <w:tblW w:w="9204" w:type="dxa"/>
          <w:jc w:val="center"/>
          <w:shd w:val="clear" w:color="auto" w:fill="FFFFFF" w:themeFill="background1"/>
          <w:tblCellMar>
            <w:top w:w="0" w:type="dxa"/>
            <w:left w:w="0" w:type="dxa"/>
            <w:bottom w:w="0" w:type="dxa"/>
            <w:right w:w="0" w:type="dxa"/>
          </w:tblCellMar>
        </w:tblPrEx>
        <w:trPr>
          <w:trHeight w:val="573"/>
          <w:jc w:val="center"/>
        </w:trPr>
        <w:tc>
          <w:tcPr>
            <w:tcW w:w="874"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highlight w:val="none"/>
              </w:rPr>
              <w:t>海城区</w:t>
            </w:r>
          </w:p>
        </w:tc>
        <w:tc>
          <w:tcPr>
            <w:tcW w:w="94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2</w:t>
            </w:r>
          </w:p>
        </w:tc>
        <w:tc>
          <w:tcPr>
            <w:tcW w:w="1008"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415</w:t>
            </w:r>
          </w:p>
        </w:tc>
        <w:tc>
          <w:tcPr>
            <w:tcW w:w="99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12</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1856</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5</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450</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1134" w:type="dxa"/>
            <w:shd w:val="clear" w:color="auto" w:fill="FFFFFF" w:themeFill="background1"/>
            <w:vAlign w:val="center"/>
          </w:tcPr>
          <w:p>
            <w:pPr>
              <w:spacing w:line="360" w:lineRule="auto"/>
              <w:jc w:val="center"/>
              <w:rPr>
                <w:rFonts w:ascii="宋体" w:eastAsia="宋体" w:hAnsi="宋体" w:cs="宋体" w:hint="eastAsia"/>
                <w:highlight w:val="none"/>
              </w:rPr>
            </w:pPr>
            <w:r>
              <w:rPr>
                <w:rFonts w:ascii="宋体" w:eastAsia="宋体" w:hAnsi="宋体" w:cs="宋体" w:hint="eastAsia"/>
                <w:highlight w:val="none"/>
              </w:rPr>
              <w:t>0</w:t>
            </w:r>
          </w:p>
        </w:tc>
      </w:tr>
      <w:tr>
        <w:tblPrEx>
          <w:tblW w:w="9204" w:type="dxa"/>
          <w:jc w:val="center"/>
          <w:shd w:val="clear" w:color="auto" w:fill="FFFFFF" w:themeFill="background1"/>
          <w:tblCellMar>
            <w:top w:w="0" w:type="dxa"/>
            <w:left w:w="0" w:type="dxa"/>
            <w:bottom w:w="0" w:type="dxa"/>
            <w:right w:w="0" w:type="dxa"/>
          </w:tblCellMar>
        </w:tblPrEx>
        <w:trPr>
          <w:trHeight w:val="573"/>
          <w:jc w:val="center"/>
        </w:trPr>
        <w:tc>
          <w:tcPr>
            <w:tcW w:w="874"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highlight w:val="none"/>
              </w:rPr>
              <w:t>铁山港区</w:t>
            </w:r>
          </w:p>
        </w:tc>
        <w:tc>
          <w:tcPr>
            <w:tcW w:w="94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1008"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99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0</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8</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365</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4</w:t>
            </w:r>
          </w:p>
        </w:tc>
        <w:tc>
          <w:tcPr>
            <w:tcW w:w="1134" w:type="dxa"/>
            <w:shd w:val="clear" w:color="auto" w:fill="FFFFFF" w:themeFill="background1"/>
            <w:vAlign w:val="center"/>
          </w:tcPr>
          <w:p>
            <w:pPr>
              <w:spacing w:line="360" w:lineRule="auto"/>
              <w:jc w:val="center"/>
              <w:rPr>
                <w:rFonts w:ascii="宋体" w:eastAsia="宋体" w:hAnsi="宋体" w:cs="宋体" w:hint="eastAsia"/>
                <w:highlight w:val="none"/>
              </w:rPr>
            </w:pPr>
            <w:r>
              <w:rPr>
                <w:rFonts w:ascii="宋体" w:eastAsia="宋体" w:hAnsi="宋体" w:cs="宋体" w:hint="eastAsia"/>
                <w:highlight w:val="none"/>
              </w:rPr>
              <w:t>342</w:t>
            </w:r>
          </w:p>
        </w:tc>
      </w:tr>
      <w:tr>
        <w:tblPrEx>
          <w:tblW w:w="9204" w:type="dxa"/>
          <w:jc w:val="center"/>
          <w:shd w:val="clear" w:color="auto" w:fill="FFFFFF" w:themeFill="background1"/>
          <w:tblCellMar>
            <w:top w:w="0" w:type="dxa"/>
            <w:left w:w="0" w:type="dxa"/>
            <w:bottom w:w="0" w:type="dxa"/>
            <w:right w:w="0" w:type="dxa"/>
          </w:tblCellMar>
        </w:tblPrEx>
        <w:trPr>
          <w:trHeight w:val="573"/>
          <w:jc w:val="center"/>
        </w:trPr>
        <w:tc>
          <w:tcPr>
            <w:tcW w:w="874" w:type="dxa"/>
            <w:shd w:val="clear" w:color="auto" w:fill="FFFFFF" w:themeFill="background1"/>
            <w:tcMar>
              <w:top w:w="15" w:type="dxa"/>
              <w:left w:w="15" w:type="dxa"/>
              <w:bottom w:w="0" w:type="dxa"/>
              <w:right w:w="15" w:type="dxa"/>
            </w:tcMar>
            <w:vAlign w:val="center"/>
          </w:tcPr>
          <w:p>
            <w:pPr>
              <w:spacing w:line="360" w:lineRule="auto"/>
              <w:rPr>
                <w:rFonts w:ascii="宋体" w:eastAsia="宋体" w:hAnsi="宋体" w:cs="宋体"/>
                <w:highlight w:val="none"/>
              </w:rPr>
            </w:pPr>
            <w:r>
              <w:rPr>
                <w:rFonts w:ascii="宋体" w:eastAsia="宋体" w:hAnsi="宋体" w:cs="宋体" w:hint="eastAsia"/>
                <w:highlight w:val="none"/>
              </w:rPr>
              <w:t>合计</w:t>
            </w:r>
          </w:p>
        </w:tc>
        <w:tc>
          <w:tcPr>
            <w:tcW w:w="94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2</w:t>
            </w:r>
          </w:p>
        </w:tc>
        <w:tc>
          <w:tcPr>
            <w:tcW w:w="1008"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415</w:t>
            </w:r>
          </w:p>
        </w:tc>
        <w:tc>
          <w:tcPr>
            <w:tcW w:w="993"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12</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1856</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18</w:t>
            </w:r>
          </w:p>
        </w:tc>
        <w:tc>
          <w:tcPr>
            <w:tcW w:w="992"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1175</w:t>
            </w:r>
          </w:p>
        </w:tc>
        <w:tc>
          <w:tcPr>
            <w:tcW w:w="1134" w:type="dxa"/>
            <w:shd w:val="clear" w:color="auto" w:fill="FFFFFF" w:themeFill="background1"/>
            <w:tcMar>
              <w:top w:w="15" w:type="dxa"/>
              <w:left w:w="15" w:type="dxa"/>
              <w:bottom w:w="0" w:type="dxa"/>
              <w:right w:w="15" w:type="dxa"/>
            </w:tcMar>
            <w:vAlign w:val="center"/>
          </w:tcPr>
          <w:p>
            <w:pPr>
              <w:spacing w:line="360" w:lineRule="auto"/>
              <w:jc w:val="center"/>
              <w:rPr>
                <w:rFonts w:ascii="宋体" w:eastAsia="宋体" w:hAnsi="宋体" w:cs="宋体"/>
                <w:highlight w:val="none"/>
              </w:rPr>
            </w:pPr>
            <w:r>
              <w:rPr>
                <w:rFonts w:ascii="宋体" w:eastAsia="宋体" w:hAnsi="宋体" w:cs="宋体" w:hint="eastAsia"/>
                <w:highlight w:val="none"/>
              </w:rPr>
              <w:t>4</w:t>
            </w:r>
          </w:p>
        </w:tc>
        <w:tc>
          <w:tcPr>
            <w:tcW w:w="1134" w:type="dxa"/>
            <w:shd w:val="clear" w:color="auto" w:fill="FFFFFF" w:themeFill="background1"/>
            <w:vAlign w:val="center"/>
          </w:tcPr>
          <w:p>
            <w:pPr>
              <w:spacing w:line="360" w:lineRule="auto"/>
              <w:jc w:val="center"/>
              <w:rPr>
                <w:rFonts w:ascii="宋体" w:eastAsia="宋体" w:hAnsi="宋体" w:cs="宋体" w:hint="eastAsia"/>
                <w:highlight w:val="none"/>
              </w:rPr>
            </w:pPr>
            <w:r>
              <w:rPr>
                <w:rFonts w:ascii="宋体" w:eastAsia="宋体" w:hAnsi="宋体" w:cs="宋体" w:hint="eastAsia"/>
                <w:highlight w:val="none"/>
              </w:rPr>
              <w:t>342</w:t>
            </w:r>
          </w:p>
        </w:tc>
      </w:tr>
    </w:tbl>
    <w:p>
      <w:pPr>
        <w:spacing w:line="360" w:lineRule="auto"/>
        <w:ind w:firstLine="420" w:firstLineChars="200"/>
        <w:rPr>
          <w:rFonts w:ascii="宋体" w:eastAsia="宋体" w:hAnsi="宋体" w:cs="宋体"/>
          <w:sz w:val="24"/>
          <w:szCs w:val="24"/>
          <w:highlight w:val="none"/>
        </w:rPr>
      </w:pP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机房的面积为不占地面积，可按实际情况适当增加机房建设层数。一类机房、二类机房、三类机房和四类机房的基本平面图如下图~所示：</w:t>
      </w:r>
    </w:p>
    <w:p>
      <w:pPr>
        <w:spacing w:line="360" w:lineRule="auto"/>
        <w:rPr>
          <w:rFonts w:ascii="宋体" w:eastAsia="宋体" w:hAnsi="宋体" w:cs="宋体"/>
          <w:sz w:val="24"/>
          <w:szCs w:val="24"/>
          <w:highlight w:val="none"/>
        </w:rPr>
      </w:pPr>
      <w:r>
        <w:rPr>
          <w:rFonts w:ascii="宋体" w:eastAsia="宋体" w:hAnsi="宋体" w:cs="宋体"/>
          <w:sz w:val="24"/>
          <w:szCs w:val="24"/>
          <w:highlight w:val="none"/>
        </w:rPr>
        <w:drawing>
          <wp:inline distT="0" distB="0" distL="0" distR="0">
            <wp:extent cx="6334125" cy="3051175"/>
            <wp:effectExtent l="0" t="0" r="0" b="0"/>
            <wp:docPr id="15" name="图片 3" descr="40ab62cdb521f33f59f74cbac955dab2_20d1f36c03a6ad8d0273a3bdfcdb8325_8_02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40ab62cdb521f33f59f74cbac955dab2_20d1f36c03a6ad8d0273a3bdfcdb8325_8_02_看图王"/>
                    <pic:cNvPicPr>
                      <a:picLocks noChangeAspect="1"/>
                    </pic:cNvPicPr>
                  </pic:nvPicPr>
                  <pic:blipFill>
                    <a:blip xmlns:r="http://schemas.openxmlformats.org/officeDocument/2006/relationships" r:embed="rId22"/>
                    <a:stretch>
                      <a:fillRect/>
                    </a:stretch>
                  </pic:blipFill>
                  <pic:spPr>
                    <a:xfrm>
                      <a:off x="0" y="0"/>
                      <a:ext cx="6349381" cy="3058729"/>
                    </a:xfrm>
                    <a:prstGeom prst="rect">
                      <a:avLst/>
                    </a:prstGeom>
                  </pic:spPr>
                </pic:pic>
              </a:graphicData>
            </a:graphic>
          </wp:inline>
        </w:drawing>
      </w:r>
    </w:p>
    <w:p>
      <w:pPr>
        <w:spacing w:line="360" w:lineRule="auto"/>
        <w:jc w:val="center"/>
        <w:rPr>
          <w:rFonts w:ascii="宋体" w:eastAsia="宋体" w:hAnsi="宋体" w:cs="宋体"/>
          <w:szCs w:val="21"/>
          <w:highlight w:val="none"/>
        </w:rPr>
      </w:pPr>
      <w:r>
        <w:rPr>
          <w:rFonts w:ascii="宋体" w:eastAsia="宋体" w:hAnsi="宋体" w:cs="宋体" w:hint="eastAsia"/>
          <w:szCs w:val="21"/>
          <w:highlight w:val="none"/>
        </w:rPr>
        <w:t>图3</w:t>
      </w:r>
      <w:r>
        <w:rPr>
          <w:rFonts w:ascii="宋体" w:eastAsia="宋体" w:hAnsi="宋体" w:cs="宋体"/>
          <w:szCs w:val="21"/>
          <w:highlight w:val="none"/>
        </w:rPr>
        <w:t>-1</w:t>
      </w:r>
      <w:r>
        <w:rPr>
          <w:rFonts w:ascii="宋体" w:eastAsia="宋体" w:hAnsi="宋体" w:cs="宋体"/>
          <w:b/>
          <w:bCs/>
          <w:szCs w:val="21"/>
          <w:highlight w:val="none"/>
        </w:rPr>
        <w:t xml:space="preserve">  </w:t>
      </w:r>
      <w:r>
        <w:rPr>
          <w:rFonts w:ascii="宋体" w:eastAsia="宋体" w:hAnsi="宋体" w:cs="宋体" w:hint="eastAsia"/>
          <w:b/>
          <w:bCs/>
          <w:szCs w:val="21"/>
          <w:highlight w:val="none"/>
        </w:rPr>
        <w:t>一类机房基本平面图建筑面积</w:t>
      </w:r>
      <w:r>
        <w:rPr>
          <w:rFonts w:ascii="宋体" w:eastAsia="宋体" w:hAnsi="宋体" w:cs="宋体"/>
          <w:b/>
          <w:bCs/>
          <w:szCs w:val="21"/>
          <w:highlight w:val="none"/>
        </w:rPr>
        <w:t>1285.47</w:t>
      </w:r>
      <w:r>
        <w:rPr>
          <w:rFonts w:ascii="宋体" w:eastAsia="宋体" w:hAnsi="宋体" w:cs="宋体" w:hint="eastAsia"/>
          <w:b/>
          <w:bCs/>
          <w:szCs w:val="21"/>
          <w:highlight w:val="none"/>
        </w:rPr>
        <w:t>㎡</w:t>
      </w:r>
    </w:p>
    <w:p>
      <w:pPr>
        <w:spacing w:line="360" w:lineRule="auto"/>
        <w:jc w:val="center"/>
        <w:rPr>
          <w:rFonts w:ascii="宋体" w:eastAsia="宋体" w:hAnsi="宋体" w:cs="宋体"/>
          <w:szCs w:val="21"/>
          <w:highlight w:val="none"/>
        </w:rPr>
      </w:pPr>
      <w:r>
        <w:rPr>
          <w:rFonts w:ascii="宋体" w:eastAsia="宋体" w:hAnsi="宋体" w:cs="宋体"/>
          <w:sz w:val="24"/>
          <w:szCs w:val="24"/>
          <w:highlight w:val="none"/>
        </w:rPr>
        <w:drawing>
          <wp:inline distT="0" distB="0" distL="0" distR="0">
            <wp:extent cx="6076950" cy="5481320"/>
            <wp:effectExtent l="0" t="0" r="0" b="5080"/>
            <wp:docPr id="55" name="图片 2"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descr="图示, 工程绘图&#10;&#10;描述已自动生成"/>
                    <pic:cNvPicPr>
                      <a:picLocks noChangeAspect="1"/>
                    </pic:cNvPicPr>
                  </pic:nvPicPr>
                  <pic:blipFill>
                    <a:blip xmlns:r="http://schemas.openxmlformats.org/officeDocument/2006/relationships" r:embed="rId23"/>
                    <a:srcRect l="11215" r="10480"/>
                    <a:stretch>
                      <a:fillRect/>
                    </a:stretch>
                  </pic:blipFill>
                  <pic:spPr>
                    <a:xfrm>
                      <a:off x="0" y="0"/>
                      <a:ext cx="6078664" cy="5483203"/>
                    </a:xfrm>
                    <a:prstGeom prst="rect">
                      <a:avLst/>
                    </a:prstGeom>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szCs w:val="21"/>
          <w:highlight w:val="none"/>
        </w:rPr>
        <w:t>图3</w:t>
      </w:r>
      <w:r>
        <w:rPr>
          <w:rFonts w:ascii="宋体" w:eastAsia="宋体" w:hAnsi="宋体" w:cs="宋体"/>
          <w:szCs w:val="21"/>
          <w:highlight w:val="none"/>
        </w:rPr>
        <w:t>-2</w:t>
      </w:r>
      <w:r>
        <w:rPr>
          <w:rFonts w:ascii="宋体" w:eastAsia="宋体" w:hAnsi="宋体" w:cs="宋体"/>
          <w:b/>
          <w:bCs/>
          <w:szCs w:val="21"/>
          <w:highlight w:val="none"/>
        </w:rPr>
        <w:t xml:space="preserve">  </w:t>
      </w:r>
      <w:r>
        <w:rPr>
          <w:rFonts w:ascii="宋体" w:eastAsia="宋体" w:hAnsi="宋体" w:cs="宋体" w:hint="eastAsia"/>
          <w:b/>
          <w:bCs/>
          <w:szCs w:val="21"/>
          <w:highlight w:val="none"/>
        </w:rPr>
        <w:t>二类机房基本平面图建筑面积</w:t>
      </w:r>
      <w:r>
        <w:rPr>
          <w:rFonts w:ascii="宋体" w:eastAsia="宋体" w:hAnsi="宋体" w:cs="宋体"/>
          <w:b/>
          <w:bCs/>
          <w:szCs w:val="21"/>
          <w:highlight w:val="none"/>
        </w:rPr>
        <w:t>262.36</w:t>
      </w:r>
      <w:r>
        <w:rPr>
          <w:rFonts w:ascii="宋体" w:eastAsia="宋体" w:hAnsi="宋体" w:cs="宋体" w:hint="eastAsia"/>
          <w:b/>
          <w:bCs/>
          <w:szCs w:val="21"/>
          <w:highlight w:val="none"/>
        </w:rPr>
        <w:t>㎡</w:t>
      </w:r>
    </w:p>
    <w:p>
      <w:pPr>
        <w:spacing w:line="360" w:lineRule="auto"/>
        <w:jc w:val="center"/>
        <w:rPr>
          <w:rFonts w:ascii="宋体" w:eastAsia="宋体" w:hAnsi="宋体" w:cs="宋体" w:hint="eastAsia"/>
          <w:szCs w:val="21"/>
          <w:highlight w:val="none"/>
        </w:rPr>
      </w:pPr>
      <w:r>
        <w:rPr>
          <w:rFonts w:ascii="宋体" w:eastAsia="宋体" w:hAnsi="宋体" w:cs="宋体"/>
          <w:szCs w:val="21"/>
          <w:highlight w:val="none"/>
        </w:rPr>
        <w:drawing>
          <wp:inline distT="0" distB="0" distL="0" distR="0">
            <wp:extent cx="5291455" cy="3829050"/>
            <wp:effectExtent l="0" t="0" r="4445" b="0"/>
            <wp:docPr id="193" name="图片 15"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5" descr="图示, 示意图&#10;&#10;描述已自动生成"/>
                    <pic:cNvPicPr>
                      <a:picLocks noChangeAspect="1"/>
                    </pic:cNvPicPr>
                  </pic:nvPicPr>
                  <pic:blipFill>
                    <a:blip xmlns:r="http://schemas.openxmlformats.org/officeDocument/2006/relationships" r:embed="rId24"/>
                    <a:stretch>
                      <a:fillRect/>
                    </a:stretch>
                  </pic:blipFill>
                  <pic:spPr>
                    <a:xfrm>
                      <a:off x="0" y="0"/>
                      <a:ext cx="5303620" cy="3837493"/>
                    </a:xfrm>
                    <a:prstGeom prst="rect">
                      <a:avLst/>
                    </a:prstGeom>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szCs w:val="21"/>
          <w:highlight w:val="none"/>
        </w:rPr>
        <w:t>图3</w:t>
      </w:r>
      <w:r>
        <w:rPr>
          <w:rFonts w:ascii="宋体" w:eastAsia="宋体" w:hAnsi="宋体" w:cs="宋体"/>
          <w:szCs w:val="21"/>
          <w:highlight w:val="none"/>
        </w:rPr>
        <w:t>-3</w:t>
      </w:r>
      <w:r>
        <w:rPr>
          <w:rFonts w:ascii="宋体" w:eastAsia="宋体" w:hAnsi="宋体" w:cs="宋体"/>
          <w:b/>
          <w:bCs/>
          <w:szCs w:val="21"/>
          <w:highlight w:val="none"/>
        </w:rPr>
        <w:t xml:space="preserve">  </w:t>
      </w:r>
      <w:r>
        <w:rPr>
          <w:rFonts w:ascii="宋体" w:eastAsia="宋体" w:hAnsi="宋体" w:cs="宋体" w:hint="eastAsia"/>
          <w:b/>
          <w:bCs/>
          <w:szCs w:val="21"/>
          <w:highlight w:val="none"/>
        </w:rPr>
        <w:t>三类机房基本平面图建筑面积</w:t>
      </w:r>
      <w:r>
        <w:rPr>
          <w:rFonts w:ascii="宋体" w:eastAsia="宋体" w:hAnsi="宋体" w:cs="宋体"/>
          <w:b/>
          <w:bCs/>
          <w:szCs w:val="21"/>
          <w:highlight w:val="none"/>
        </w:rPr>
        <w:t>88.9</w:t>
      </w:r>
      <w:r>
        <w:rPr>
          <w:rFonts w:ascii="宋体" w:eastAsia="宋体" w:hAnsi="宋体" w:cs="宋体" w:hint="eastAsia"/>
          <w:b/>
          <w:bCs/>
          <w:szCs w:val="21"/>
          <w:highlight w:val="none"/>
        </w:rPr>
        <w:t>㎡</w:t>
      </w:r>
    </w:p>
    <w:p>
      <w:pPr>
        <w:spacing w:line="360" w:lineRule="auto"/>
        <w:jc w:val="center"/>
        <w:rPr>
          <w:rFonts w:ascii="宋体" w:eastAsia="宋体" w:hAnsi="宋体" w:cs="宋体"/>
          <w:sz w:val="24"/>
          <w:szCs w:val="24"/>
          <w:highlight w:val="none"/>
        </w:rPr>
      </w:pPr>
      <w:r>
        <w:rPr>
          <w:rFonts w:ascii="宋体" w:eastAsia="宋体" w:hAnsi="宋体" w:cs="宋体"/>
          <w:sz w:val="24"/>
          <w:szCs w:val="24"/>
          <w:highlight w:val="none"/>
        </w:rPr>
        <w:drawing>
          <wp:inline distT="0" distB="0" distL="0" distR="0">
            <wp:extent cx="5095875" cy="3416300"/>
            <wp:effectExtent l="0" t="0" r="0" b="0"/>
            <wp:docPr id="194" name="图片 5"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 descr="图示, 示意图&#10;&#10;描述已自动生成"/>
                    <pic:cNvPicPr>
                      <a:picLocks noChangeAspect="1"/>
                    </pic:cNvPicPr>
                  </pic:nvPicPr>
                  <pic:blipFill>
                    <a:blip xmlns:r="http://schemas.openxmlformats.org/officeDocument/2006/relationships" r:embed="rId25"/>
                    <a:stretch>
                      <a:fillRect/>
                    </a:stretch>
                  </pic:blipFill>
                  <pic:spPr>
                    <a:xfrm>
                      <a:off x="0" y="0"/>
                      <a:ext cx="5110274" cy="3426386"/>
                    </a:xfrm>
                    <a:prstGeom prst="rect">
                      <a:avLst/>
                    </a:prstGeom>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szCs w:val="21"/>
          <w:highlight w:val="none"/>
        </w:rPr>
        <w:t>图3</w:t>
      </w:r>
      <w:r>
        <w:rPr>
          <w:rFonts w:ascii="宋体" w:eastAsia="宋体" w:hAnsi="宋体" w:cs="宋体"/>
          <w:szCs w:val="21"/>
          <w:highlight w:val="none"/>
        </w:rPr>
        <w:t>-4</w:t>
      </w:r>
      <w:r>
        <w:rPr>
          <w:rFonts w:ascii="宋体" w:eastAsia="宋体" w:hAnsi="宋体" w:cs="宋体"/>
          <w:b/>
          <w:bCs/>
          <w:szCs w:val="21"/>
          <w:highlight w:val="none"/>
        </w:rPr>
        <w:t xml:space="preserve">  </w:t>
      </w:r>
      <w:r>
        <w:rPr>
          <w:rFonts w:ascii="宋体" w:eastAsia="宋体" w:hAnsi="宋体" w:cs="宋体" w:hint="eastAsia"/>
          <w:b/>
          <w:bCs/>
          <w:szCs w:val="21"/>
          <w:highlight w:val="none"/>
        </w:rPr>
        <w:t>四类机房基本平面图建筑面积</w:t>
      </w:r>
      <w:r>
        <w:rPr>
          <w:rFonts w:ascii="宋体" w:eastAsia="宋体" w:hAnsi="宋体" w:cs="宋体"/>
          <w:b/>
          <w:bCs/>
          <w:szCs w:val="21"/>
          <w:highlight w:val="none"/>
        </w:rPr>
        <w:t>45.63</w:t>
      </w:r>
      <w:r>
        <w:rPr>
          <w:rFonts w:ascii="宋体" w:eastAsia="宋体" w:hAnsi="宋体" w:cs="宋体" w:hint="eastAsia"/>
          <w:b/>
          <w:bCs/>
          <w:szCs w:val="21"/>
          <w:highlight w:val="none"/>
        </w:rPr>
        <w:t>㎡</w:t>
      </w:r>
    </w:p>
    <w:p>
      <w:pPr>
        <w:spacing w:line="360" w:lineRule="auto"/>
        <w:jc w:val="center"/>
        <w:rPr>
          <w:rFonts w:ascii="宋体" w:eastAsia="宋体" w:hAnsi="宋体" w:cs="宋体" w:hint="eastAsia"/>
          <w:sz w:val="24"/>
          <w:szCs w:val="24"/>
          <w:highlight w:val="none"/>
        </w:rPr>
      </w:pP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（5）5G基站（宏基站）现状覆盖范围</w:t>
      </w:r>
    </w:p>
    <w:p>
      <w:pPr>
        <w:spacing w:line="360" w:lineRule="auto"/>
        <w:ind w:firstLine="420" w:firstLineChars="200"/>
        <w:rPr>
          <w:rFonts w:ascii="宋体" w:eastAsia="宋体" w:hAnsi="宋体" w:cs="宋体" w:hint="eastAsia"/>
          <w:sz w:val="24"/>
          <w:szCs w:val="24"/>
          <w:highlight w:val="none"/>
        </w:rPr>
      </w:pPr>
      <w:r>
        <w:rPr>
          <w:rFonts w:ascii="宋体" w:eastAsia="宋体" w:hAnsi="宋体" w:cs="宋体" w:hint="eastAsia"/>
          <w:sz w:val="24"/>
          <w:szCs w:val="24"/>
          <w:highlight w:val="none"/>
        </w:rPr>
        <w:t xml:space="preserve"> </w:t>
      </w:r>
      <w:r>
        <w:rPr>
          <w:rFonts w:ascii="宋体" w:eastAsia="宋体" w:hAnsi="宋体" w:cs="宋体"/>
          <w:sz w:val="24"/>
          <w:szCs w:val="24"/>
          <w:highlight w:val="none"/>
        </w:rPr>
        <w:t xml:space="preserve">   </w:t>
      </w:r>
      <w:r>
        <w:rPr>
          <w:rFonts w:ascii="宋体" w:eastAsia="宋体" w:hAnsi="宋体" w:cs="宋体" w:hint="eastAsia"/>
          <w:sz w:val="24"/>
          <w:szCs w:val="24"/>
          <w:highlight w:val="none"/>
        </w:rPr>
        <w:t>北海市5G网络现状覆盖情况（基站模型仿真）为北海（海城区、银海区、铁山港区）5G整体覆盖率达8</w:t>
      </w:r>
      <w:r>
        <w:rPr>
          <w:rFonts w:ascii="宋体" w:eastAsia="宋体" w:hAnsi="宋体" w:cs="宋体"/>
          <w:sz w:val="24"/>
          <w:szCs w:val="24"/>
          <w:highlight w:val="none"/>
        </w:rPr>
        <w:t>0%</w:t>
      </w:r>
      <w:r>
        <w:rPr>
          <w:rFonts w:ascii="宋体" w:eastAsia="宋体" w:hAnsi="宋体" w:cs="宋体" w:hint="eastAsia"/>
          <w:sz w:val="24"/>
          <w:szCs w:val="24"/>
          <w:highlight w:val="none"/>
        </w:rPr>
        <w:t>。主要的问题有：密集城区因建筑物密集遮挡严重、深度覆盖不足，存在弱信号采样点；乡镇、农村区域因基站间距过大、树木遮挡等原因存在较多弱信号区域。</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（二）通信传输基础设施现状</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截止至2023年中，北海市共有传输线路光节点291个，通信管道总长度1189.693公里，通信杆路总长度147.007公里。各城区通信传输基础设施现状详见下表所示：</w:t>
      </w:r>
    </w:p>
    <w:p>
      <w:pPr>
        <w:ind w:firstLine="480"/>
        <w:jc w:val="center"/>
        <w:rPr>
          <w:rFonts w:ascii="宋体" w:eastAsia="宋体" w:hAnsi="宋体" w:cs="宋体"/>
          <w:szCs w:val="21"/>
          <w:highlight w:val="none"/>
        </w:rPr>
      </w:pPr>
      <w:r>
        <w:rPr>
          <w:rFonts w:ascii="宋体" w:eastAsia="宋体" w:hAnsi="宋体" w:cs="宋体" w:hint="eastAsia"/>
          <w:szCs w:val="21"/>
          <w:highlight w:val="none"/>
        </w:rPr>
        <w:t>表3-2 通信传输基础设施现状</w:t>
      </w:r>
    </w:p>
    <w:tbl>
      <w:tblPr>
        <w:tblStyle w:val="TableNormal"/>
        <w:tblW w:w="440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blGrid>
        <w:gridCol w:w="1259"/>
        <w:gridCol w:w="2681"/>
        <w:gridCol w:w="2547"/>
        <w:gridCol w:w="2333"/>
      </w:tblGrid>
      <w:tr>
        <w:tblPrEx>
          <w:tblW w:w="440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Ex>
        <w:trPr>
          <w:trHeight w:val="420"/>
          <w:tblHeader/>
          <w:jc w:val="center"/>
        </w:trPr>
        <w:tc>
          <w:tcPr>
            <w:tcW w:w="714" w:type="pct"/>
            <w:shd w:val="clear" w:color="auto" w:fill="auto"/>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区县</w:t>
            </w:r>
          </w:p>
        </w:tc>
        <w:tc>
          <w:tcPr>
            <w:tcW w:w="1520" w:type="pct"/>
            <w:shd w:val="clear" w:color="auto" w:fill="auto"/>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传输线路光交节点数</w:t>
            </w:r>
          </w:p>
        </w:tc>
        <w:tc>
          <w:tcPr>
            <w:tcW w:w="1444" w:type="pct"/>
            <w:shd w:val="clear" w:color="auto" w:fill="auto"/>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通信管道总长度</w:t>
            </w:r>
          </w:p>
        </w:tc>
        <w:tc>
          <w:tcPr>
            <w:tcW w:w="1322" w:type="pct"/>
            <w:shd w:val="clear" w:color="auto" w:fill="auto"/>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通信杆路总长度</w:t>
            </w:r>
          </w:p>
        </w:tc>
      </w:tr>
      <w:tr>
        <w:tblPrEx>
          <w:tblW w:w="4402" w:type="pct"/>
          <w:jc w:val="center"/>
          <w:tblCellMar>
            <w:top w:w="0" w:type="dxa"/>
            <w:left w:w="108" w:type="dxa"/>
            <w:bottom w:w="0" w:type="dxa"/>
            <w:right w:w="108" w:type="dxa"/>
          </w:tblCellMar>
        </w:tblPrEx>
        <w:trPr>
          <w:trHeight w:val="270"/>
          <w:jc w:val="center"/>
        </w:trPr>
        <w:tc>
          <w:tcPr>
            <w:tcW w:w="714"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1520"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133</w:t>
            </w:r>
          </w:p>
        </w:tc>
        <w:tc>
          <w:tcPr>
            <w:tcW w:w="1444"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144</w:t>
            </w:r>
          </w:p>
        </w:tc>
        <w:tc>
          <w:tcPr>
            <w:tcW w:w="1322"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14</w:t>
            </w:r>
          </w:p>
        </w:tc>
      </w:tr>
      <w:tr>
        <w:tblPrEx>
          <w:tblW w:w="4402" w:type="pct"/>
          <w:jc w:val="center"/>
          <w:tblCellMar>
            <w:top w:w="0" w:type="dxa"/>
            <w:left w:w="108" w:type="dxa"/>
            <w:bottom w:w="0" w:type="dxa"/>
            <w:right w:w="108" w:type="dxa"/>
          </w:tblCellMar>
        </w:tblPrEx>
        <w:trPr>
          <w:trHeight w:val="270"/>
          <w:jc w:val="center"/>
        </w:trPr>
        <w:tc>
          <w:tcPr>
            <w:tcW w:w="714"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1520"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140</w:t>
            </w:r>
          </w:p>
        </w:tc>
        <w:tc>
          <w:tcPr>
            <w:tcW w:w="1444"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890</w:t>
            </w:r>
          </w:p>
        </w:tc>
        <w:tc>
          <w:tcPr>
            <w:tcW w:w="1322"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31</w:t>
            </w:r>
          </w:p>
        </w:tc>
      </w:tr>
      <w:tr>
        <w:tblPrEx>
          <w:tblW w:w="4402" w:type="pct"/>
          <w:jc w:val="center"/>
          <w:tblCellMar>
            <w:top w:w="0" w:type="dxa"/>
            <w:left w:w="108" w:type="dxa"/>
            <w:bottom w:w="0" w:type="dxa"/>
            <w:right w:w="108" w:type="dxa"/>
          </w:tblCellMar>
        </w:tblPrEx>
        <w:trPr>
          <w:trHeight w:val="270"/>
          <w:jc w:val="center"/>
        </w:trPr>
        <w:tc>
          <w:tcPr>
            <w:tcW w:w="714"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1520"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18</w:t>
            </w:r>
          </w:p>
        </w:tc>
        <w:tc>
          <w:tcPr>
            <w:tcW w:w="1444"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kern w:val="0"/>
                <w:szCs w:val="21"/>
                <w:highlight w:val="none"/>
              </w:rPr>
              <w:t>53</w:t>
            </w:r>
          </w:p>
        </w:tc>
        <w:tc>
          <w:tcPr>
            <w:tcW w:w="1322"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102</w:t>
            </w:r>
          </w:p>
        </w:tc>
      </w:tr>
      <w:tr>
        <w:tblPrEx>
          <w:tblW w:w="4402" w:type="pct"/>
          <w:jc w:val="center"/>
          <w:tblCellMar>
            <w:top w:w="0" w:type="dxa"/>
            <w:left w:w="108" w:type="dxa"/>
            <w:bottom w:w="0" w:type="dxa"/>
            <w:right w:w="108" w:type="dxa"/>
          </w:tblCellMar>
        </w:tblPrEx>
        <w:trPr>
          <w:trHeight w:val="270"/>
          <w:jc w:val="center"/>
        </w:trPr>
        <w:tc>
          <w:tcPr>
            <w:tcW w:w="714" w:type="pct"/>
            <w:shd w:val="clear" w:color="auto" w:fill="auto"/>
            <w:noWrap/>
            <w:vAlign w:val="center"/>
          </w:tcPr>
          <w:p>
            <w:pPr>
              <w:widowControl/>
              <w:spacing w:line="276"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总计</w:t>
            </w:r>
          </w:p>
        </w:tc>
        <w:tc>
          <w:tcPr>
            <w:tcW w:w="1520"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291</w:t>
            </w:r>
          </w:p>
        </w:tc>
        <w:tc>
          <w:tcPr>
            <w:tcW w:w="1444"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087</w:t>
            </w:r>
          </w:p>
        </w:tc>
        <w:tc>
          <w:tcPr>
            <w:tcW w:w="1322" w:type="pct"/>
            <w:shd w:val="clear" w:color="auto" w:fill="auto"/>
            <w:noWrap/>
            <w:vAlign w:val="center"/>
          </w:tcPr>
          <w:p>
            <w:pPr>
              <w:widowControl/>
              <w:spacing w:line="276"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147</w:t>
            </w:r>
          </w:p>
        </w:tc>
      </w:tr>
    </w:tbl>
    <w:p>
      <w:pPr>
        <w:spacing w:line="360" w:lineRule="auto"/>
        <w:ind w:firstLine="420" w:firstLineChars="200"/>
        <w:jc w:val="left"/>
        <w:rPr>
          <w:rFonts w:ascii="Times New Roman" w:eastAsia="宋体" w:hAnsi="Times New Roman" w:cs="Times New Roman"/>
          <w:sz w:val="24"/>
          <w:szCs w:val="24"/>
          <w:highlight w:val="none"/>
        </w:rPr>
      </w:pPr>
      <w:bookmarkStart w:id="36" w:name="_Toc156229008"/>
      <w:bookmarkStart w:id="37" w:name="_Toc156229178"/>
      <w:r>
        <w:rPr>
          <w:rFonts w:ascii="Times New Roman" w:eastAsia="宋体" w:hAnsi="Times New Roman" w:cs="Times New Roman" w:hint="eastAsia"/>
          <w:sz w:val="24"/>
          <w:szCs w:val="24"/>
          <w:highlight w:val="none"/>
        </w:rPr>
        <w:t>1、</w:t>
      </w:r>
      <w:r>
        <w:rPr>
          <w:rFonts w:ascii="Times New Roman" w:eastAsia="宋体" w:hAnsi="Times New Roman" w:cs="Times New Roman"/>
          <w:sz w:val="24"/>
          <w:szCs w:val="24"/>
          <w:highlight w:val="none"/>
        </w:rPr>
        <w:t>通信光交箱资源现状评估：</w:t>
      </w:r>
    </w:p>
    <w:p>
      <w:pPr>
        <w:spacing w:line="360" w:lineRule="auto"/>
        <w:ind w:firstLine="420" w:firstLineChars="2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（1）北海</w:t>
      </w:r>
      <w:r>
        <w:rPr>
          <w:rFonts w:ascii="Times New Roman" w:eastAsia="宋体" w:hAnsi="Times New Roman" w:cs="Times New Roman"/>
          <w:sz w:val="24"/>
          <w:szCs w:val="24"/>
          <w:highlight w:val="none"/>
        </w:rPr>
        <w:t>市城区已有分纤接入点光交箱</w:t>
      </w:r>
      <w:r>
        <w:rPr>
          <w:rFonts w:ascii="Times New Roman" w:eastAsia="宋体" w:hAnsi="Times New Roman" w:cs="Times New Roman" w:hint="eastAsia"/>
          <w:sz w:val="24"/>
          <w:szCs w:val="24"/>
          <w:highlight w:val="none"/>
        </w:rPr>
        <w:t>仍未</w:t>
      </w:r>
      <w:r>
        <w:rPr>
          <w:rFonts w:ascii="Times New Roman" w:eastAsia="宋体" w:hAnsi="Times New Roman" w:cs="Times New Roman"/>
          <w:sz w:val="24"/>
          <w:szCs w:val="24"/>
          <w:highlight w:val="none"/>
        </w:rPr>
        <w:t>满足覆盖，</w:t>
      </w:r>
      <w:r>
        <w:rPr>
          <w:rFonts w:ascii="Times New Roman" w:eastAsia="宋体" w:hAnsi="Times New Roman" w:cs="Times New Roman" w:hint="eastAsia"/>
          <w:sz w:val="24"/>
          <w:szCs w:val="24"/>
          <w:highlight w:val="none"/>
        </w:rPr>
        <w:t>为满足</w:t>
      </w:r>
      <w:r>
        <w:rPr>
          <w:rFonts w:ascii="Times New Roman" w:eastAsia="宋体" w:hAnsi="Times New Roman" w:cs="Times New Roman"/>
          <w:sz w:val="24"/>
          <w:szCs w:val="24"/>
          <w:highlight w:val="none"/>
        </w:rPr>
        <w:t>城区、</w:t>
      </w:r>
      <w:r>
        <w:rPr>
          <w:rFonts w:ascii="Times New Roman" w:eastAsia="宋体" w:hAnsi="Times New Roman" w:cs="Times New Roman" w:hint="eastAsia"/>
          <w:sz w:val="24"/>
          <w:szCs w:val="24"/>
          <w:highlight w:val="none"/>
        </w:rPr>
        <w:t>工业园、乡镇等</w:t>
      </w:r>
      <w:r>
        <w:rPr>
          <w:rFonts w:ascii="Times New Roman" w:eastAsia="宋体" w:hAnsi="Times New Roman" w:cs="Times New Roman"/>
          <w:sz w:val="24"/>
          <w:szCs w:val="24"/>
          <w:highlight w:val="none"/>
        </w:rPr>
        <w:t>业务发展需要，规划期内需部署规划光交箱资源；</w:t>
      </w:r>
    </w:p>
    <w:p>
      <w:pPr>
        <w:spacing w:line="360" w:lineRule="auto"/>
        <w:ind w:firstLine="420" w:firstLineChars="2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（2）</w:t>
      </w:r>
      <w:r>
        <w:rPr>
          <w:rFonts w:ascii="Times New Roman" w:eastAsia="宋体" w:hAnsi="Times New Roman" w:cs="Times New Roman"/>
          <w:sz w:val="24"/>
          <w:szCs w:val="24"/>
          <w:highlight w:val="none"/>
        </w:rPr>
        <w:t>同一地点出现不同运营商的通信光交，光交箱的设置影响行人交通和市容市貌，通信光交应共建共享方式进行规划，减少城市通信光交的重复设置。</w:t>
      </w:r>
    </w:p>
    <w:p>
      <w:pPr>
        <w:spacing w:line="360" w:lineRule="auto"/>
        <w:ind w:firstLine="420" w:firstLineChars="2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2、通信管道资源现状评估：</w:t>
      </w:r>
    </w:p>
    <w:p>
      <w:pPr>
        <w:pStyle w:val="ListParagraph"/>
        <w:numPr>
          <w:ilvl w:val="0"/>
          <w:numId w:val="13"/>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目前，</w:t>
      </w:r>
      <w:r>
        <w:rPr>
          <w:rFonts w:ascii="Times New Roman" w:eastAsia="宋体" w:hAnsi="Times New Roman" w:cs="Times New Roman" w:hint="eastAsia"/>
          <w:sz w:val="24"/>
          <w:szCs w:val="24"/>
          <w:highlight w:val="none"/>
        </w:rPr>
        <w:t>北海</w:t>
      </w:r>
      <w:r>
        <w:rPr>
          <w:rFonts w:ascii="Times New Roman" w:eastAsia="宋体" w:hAnsi="Times New Roman" w:cs="Times New Roman"/>
          <w:sz w:val="24"/>
          <w:szCs w:val="24"/>
          <w:highlight w:val="none"/>
        </w:rPr>
        <w:t>市现有各家通信运营商的通信管道已基本覆盖老城区，老城区内主管道路管道已基本连通，次干道路及支路管道仍匮乏，新规划道路需建设管道覆盖以满足新增业务需求；</w:t>
      </w:r>
    </w:p>
    <w:p>
      <w:pPr>
        <w:pStyle w:val="ListParagraph"/>
        <w:numPr>
          <w:ilvl w:val="0"/>
          <w:numId w:val="13"/>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老城区管道资源较为紧张，利用率已超过70%，尤其在主干道路及</w:t>
      </w:r>
      <w:r>
        <w:rPr>
          <w:rFonts w:ascii="Times New Roman" w:eastAsia="宋体" w:hAnsi="Times New Roman" w:cs="Times New Roman" w:hint="eastAsia"/>
          <w:sz w:val="24"/>
          <w:szCs w:val="24"/>
          <w:highlight w:val="none"/>
        </w:rPr>
        <w:t>部分</w:t>
      </w:r>
      <w:r>
        <w:rPr>
          <w:rFonts w:ascii="Times New Roman" w:eastAsia="宋体" w:hAnsi="Times New Roman" w:cs="Times New Roman"/>
          <w:sz w:val="24"/>
          <w:szCs w:val="24"/>
          <w:highlight w:val="none"/>
        </w:rPr>
        <w:t>道路上这类现象较为明显。</w:t>
      </w:r>
    </w:p>
    <w:p>
      <w:pPr>
        <w:spacing w:line="360" w:lineRule="auto"/>
        <w:ind w:firstLine="420" w:firstLineChars="200"/>
        <w:jc w:val="left"/>
        <w:rPr>
          <w:rFonts w:ascii="Times New Roman" w:eastAsia="宋体" w:hAnsi="Times New Roman" w:cs="Times New Roman"/>
          <w:sz w:val="24"/>
          <w:szCs w:val="24"/>
          <w:highlight w:val="none"/>
        </w:rPr>
      </w:pPr>
      <w:r>
        <w:rPr>
          <w:rFonts w:ascii="Times New Roman" w:eastAsia="宋体" w:hAnsi="Times New Roman" w:cs="Times New Roman" w:hint="eastAsia"/>
          <w:sz w:val="24"/>
          <w:szCs w:val="24"/>
          <w:highlight w:val="none"/>
        </w:rPr>
        <w:t>3、</w:t>
      </w:r>
      <w:r>
        <w:rPr>
          <w:rFonts w:ascii="Times New Roman" w:eastAsia="宋体" w:hAnsi="Times New Roman" w:cs="Times New Roman"/>
          <w:sz w:val="24"/>
          <w:szCs w:val="24"/>
          <w:highlight w:val="none"/>
        </w:rPr>
        <w:t>通信杆路资源现状评估：</w:t>
      </w:r>
    </w:p>
    <w:p>
      <w:pPr>
        <w:pStyle w:val="ListParagraph"/>
        <w:numPr>
          <w:ilvl w:val="0"/>
          <w:numId w:val="14"/>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目前，</w:t>
      </w:r>
      <w:r>
        <w:rPr>
          <w:rFonts w:ascii="Times New Roman" w:eastAsia="宋体" w:hAnsi="Times New Roman" w:cs="Times New Roman" w:hint="eastAsia"/>
          <w:sz w:val="24"/>
          <w:szCs w:val="24"/>
          <w:highlight w:val="none"/>
        </w:rPr>
        <w:t>北海</w:t>
      </w:r>
      <w:r>
        <w:rPr>
          <w:rFonts w:ascii="Times New Roman" w:eastAsia="宋体" w:hAnsi="Times New Roman" w:cs="Times New Roman"/>
          <w:sz w:val="24"/>
          <w:szCs w:val="24"/>
          <w:highlight w:val="none"/>
        </w:rPr>
        <w:t>市</w:t>
      </w:r>
      <w:r>
        <w:rPr>
          <w:rFonts w:ascii="Times New Roman" w:eastAsia="宋体" w:hAnsi="Times New Roman" w:cs="Times New Roman" w:hint="eastAsia"/>
          <w:sz w:val="24"/>
          <w:szCs w:val="24"/>
          <w:highlight w:val="none"/>
        </w:rPr>
        <w:t>中心</w:t>
      </w:r>
      <w:r>
        <w:rPr>
          <w:rFonts w:ascii="Times New Roman" w:eastAsia="宋体" w:hAnsi="Times New Roman" w:cs="Times New Roman"/>
          <w:sz w:val="24"/>
          <w:szCs w:val="24"/>
          <w:highlight w:val="none"/>
        </w:rPr>
        <w:t>城区内存量通信杆路已随着管道建设逐年改造，大部分通信线路已完成下地入管道及原有杆路拆除工作，各电信企业已基本不再新建杆路</w:t>
      </w:r>
      <w:r>
        <w:rPr>
          <w:rFonts w:ascii="Times New Roman" w:eastAsia="宋体" w:hAnsi="Times New Roman" w:cs="Times New Roman" w:hint="eastAsia"/>
          <w:sz w:val="24"/>
          <w:szCs w:val="24"/>
          <w:highlight w:val="none"/>
        </w:rPr>
        <w:t>；当前，铁山港区区域对通信杆路仍有一定的需求，主要需求集中在乡镇及农村，且已有很多存量杆路是可共址共建的。</w:t>
      </w:r>
    </w:p>
    <w:p>
      <w:pPr>
        <w:pStyle w:val="ListParagraph"/>
        <w:numPr>
          <w:ilvl w:val="0"/>
          <w:numId w:val="14"/>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老城区或未有管道覆盖区域仍存在同区域走向出现不同运营商的杆路，杆上光缆线路设置影响行人交通和市容市貌，建议按照共建共享方式进行资源整合；</w:t>
      </w:r>
    </w:p>
    <w:p>
      <w:pPr>
        <w:pStyle w:val="ListParagraph"/>
        <w:numPr>
          <w:ilvl w:val="0"/>
          <w:numId w:val="14"/>
        </w:numPr>
        <w:spacing w:line="360" w:lineRule="auto"/>
        <w:ind w:left="0" w:firstLine="480"/>
        <w:jc w:val="left"/>
        <w:rPr>
          <w:rFonts w:ascii="宋体" w:eastAsia="宋体" w:hAnsi="宋体" w:cs="宋体"/>
          <w:b/>
          <w:bCs/>
          <w:sz w:val="24"/>
          <w:highlight w:val="none"/>
        </w:rPr>
      </w:pPr>
      <w:r>
        <w:rPr>
          <w:rFonts w:ascii="Times New Roman" w:eastAsia="宋体" w:hAnsi="Times New Roman" w:cs="Times New Roman"/>
          <w:sz w:val="24"/>
          <w:szCs w:val="24"/>
          <w:highlight w:val="none"/>
        </w:rPr>
        <w:t>通信杆路应共建共享方式进行规划，减少城市城区通信杆路的重复设置。</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（三）现状问题总结分析</w:t>
      </w:r>
      <w:bookmarkEnd w:id="36"/>
      <w:bookmarkEnd w:id="37"/>
      <w:r>
        <w:rPr>
          <w:rFonts w:ascii="宋体" w:eastAsia="宋体" w:hAnsi="宋体" w:cs="宋体" w:hint="eastAsia"/>
          <w:b/>
          <w:bCs/>
          <w:sz w:val="24"/>
          <w:highlight w:val="none"/>
        </w:rPr>
        <w:t>及解决措施</w:t>
      </w:r>
    </w:p>
    <w:p>
      <w:pPr>
        <w:pStyle w:val="Heading3"/>
        <w:spacing w:before="156" w:beforeLines="50" w:after="0" w:line="360" w:lineRule="auto"/>
        <w:ind w:firstLine="420" w:firstLineChars="200"/>
        <w:rPr>
          <w:rFonts w:ascii="Times New Roman" w:eastAsia="宋体" w:hAnsi="Times New Roman" w:cs="Times New Roman"/>
          <w:bCs/>
          <w:sz w:val="24"/>
          <w:szCs w:val="24"/>
          <w:highlight w:val="none"/>
        </w:rPr>
      </w:pPr>
      <w:bookmarkStart w:id="38" w:name="_Toc3272"/>
      <w:bookmarkStart w:id="39" w:name="_Toc156229009"/>
      <w:r>
        <w:rPr>
          <w:rFonts w:ascii="Times New Roman" w:eastAsia="宋体" w:hAnsi="Times New Roman" w:cs="Times New Roman" w:hint="eastAsia"/>
          <w:bCs/>
          <w:sz w:val="24"/>
          <w:szCs w:val="24"/>
          <w:highlight w:val="none"/>
        </w:rPr>
        <w:t>1、现状存在</w:t>
      </w:r>
      <w:r>
        <w:rPr>
          <w:rFonts w:ascii="Times New Roman" w:eastAsia="宋体" w:hAnsi="Times New Roman" w:cs="Times New Roman"/>
          <w:bCs/>
          <w:sz w:val="24"/>
          <w:szCs w:val="24"/>
          <w:highlight w:val="none"/>
        </w:rPr>
        <w:t>问题</w:t>
      </w:r>
      <w:r>
        <w:rPr>
          <w:rFonts w:ascii="Times New Roman" w:eastAsia="宋体" w:hAnsi="Times New Roman" w:cs="Times New Roman" w:hint="eastAsia"/>
          <w:bCs/>
          <w:sz w:val="24"/>
          <w:szCs w:val="24"/>
          <w:highlight w:val="none"/>
        </w:rPr>
        <w:t>分析</w:t>
      </w:r>
      <w:r>
        <w:rPr>
          <w:rFonts w:ascii="Times New Roman" w:eastAsia="宋体" w:hAnsi="Times New Roman" w:cs="Times New Roman"/>
          <w:bCs/>
          <w:sz w:val="24"/>
          <w:szCs w:val="24"/>
          <w:highlight w:val="none"/>
        </w:rPr>
        <w:t>总结</w:t>
      </w:r>
      <w:bookmarkEnd w:id="38"/>
      <w:bookmarkEnd w:id="39"/>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新规划区无机房、管道、光缆覆盖。</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综合接入机房覆盖较少。</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城区现有管道容量无法满足远期运营商、政府信息化建设需求。</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老城区管道利用率较高；城中村线缆多为架空为主，多类型缆线交织，杂乱不堪，存在安全隐患，急需入地。</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管线重复建设率高，同一道路出现3类以上管沟，存在地下空间资源浪费，重复破路、增加建设成本等问题。</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机房租赁困难，搬迁率高。</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基站站址资源受限。从 2G 到 5G，各运营商使用的频段越来越高（广电700MHz除外），使得无线信号在空中传播损耗越来越大，绕射能力越来越弱，单个基站的覆盖半径越来越小，站址密度越来越大。另一方面，新技术的出现并没有取代已有技术，从2G到5G各项技术分别承载着不同的业务，2/4/5G 网络将会长期共存。随着城市建筑增加、人口分布变化，移动通信业务需求旺盛，特别是新建小区、城市改造小区、新建开发区、新建工业园区，通信基础设施需要协同建设。然而部分地区尤其是老城区新增的建筑资源较少，导致新增站址获取非常的困难，基础电信企业可以通过市场化手段获取的站址已基本告罄，新的基站站址获取困难，同时区域内尚有大量的公共资源未对基础电信企业开放。</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基站天面资源受限。一方面从2G到5G各项技术分别承载着不同业务，2/3/4/5G网络将会长期共存，铁塔天面天线越来越多、系统越来越复杂；另一方面，5G宏覆盖组网采用多通道AAU 形式的产品架构，射频和天线合一，无法利用现有天馈器件，需要独立新建，5G天线重量相对4G增加约2倍，对天线抱杆要求进一步提高，因此进一步加大了基站天面资源压力。</w:t>
      </w:r>
    </w:p>
    <w:p>
      <w:pPr>
        <w:pStyle w:val="ListParagraph"/>
        <w:numPr>
          <w:ilvl w:val="0"/>
          <w:numId w:val="15"/>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highlight w:val="none"/>
        </w:rPr>
        <w:t>人文环境</w:t>
      </w:r>
      <w:r>
        <w:rPr>
          <w:rFonts w:ascii="Times New Roman" w:eastAsia="宋体" w:hAnsi="Times New Roman" w:cs="Times New Roman"/>
          <w:sz w:val="24"/>
          <w:szCs w:val="24"/>
          <w:highlight w:val="none"/>
        </w:rPr>
        <w:t>。目前较为突出的问题是部分基站被逼迁和新建基站选址困难，基站发射无线信号，会污染电磁环境、带来电磁辐射，但这种有限的辐射强度究竟是否会对人体形成实质性的危害尚无定论，而报刊、杂志、电视、网络等多种媒体上出现大量夸大基站电磁辐射危害的言论，误导了普通民众对基站的认识，导致群众对基站产生了恐惧和排斥心理，居民一方面要求通信信号质量好，一方面又反对基站建在自家门前，这种思想严重阻碍了正常的基站建设进度。</w:t>
      </w:r>
    </w:p>
    <w:p>
      <w:pPr>
        <w:pStyle w:val="ListParagraph"/>
        <w:numPr>
          <w:ilvl w:val="0"/>
          <w:numId w:val="15"/>
        </w:numPr>
        <w:spacing w:line="360" w:lineRule="auto"/>
        <w:ind w:left="0" w:firstLine="480"/>
        <w:jc w:val="left"/>
        <w:rPr>
          <w:rFonts w:ascii="Times New Roman" w:eastAsia="宋体" w:hAnsi="Times New Roman" w:cs="Times New Roman"/>
          <w:sz w:val="24"/>
          <w:highlight w:val="none"/>
        </w:rPr>
      </w:pPr>
      <w:r>
        <w:rPr>
          <w:rFonts w:ascii="Times New Roman" w:eastAsia="宋体" w:hAnsi="Times New Roman" w:cs="Times New Roman"/>
          <w:sz w:val="24"/>
          <w:highlight w:val="none"/>
        </w:rPr>
        <w:t>法律环境。基站属于通信基础设施，理应受到法律的保护，但目前基站建设的相关立法尚不完善，相关法律法规对于基站的建设、管理与保护虽有表述，但缺少直接、明确的规定。《城乡规划法》、《电信条例》、《无线电管理条例》等法律法规关于通信基站作为基础通信设施纳入城乡规划的规定缺少具体的操作规范，甚至某些条款与《</w:t>
      </w:r>
      <w:r>
        <w:rPr>
          <w:rFonts w:ascii="Times New Roman" w:eastAsia="宋体" w:hAnsi="Times New Roman" w:cs="Times New Roman" w:hint="eastAsia"/>
          <w:sz w:val="24"/>
          <w:highlight w:val="none"/>
        </w:rPr>
        <w:t>民典</w:t>
      </w:r>
      <w:r>
        <w:rPr>
          <w:rFonts w:ascii="Times New Roman" w:eastAsia="宋体" w:hAnsi="Times New Roman" w:cs="Times New Roman"/>
          <w:sz w:val="24"/>
          <w:highlight w:val="none"/>
        </w:rPr>
        <w:t>法》的相关规定相冲突，以至于基站建设经常被指责投诉为“违规乱建”，甚至被迫停建或拆除。</w:t>
      </w:r>
    </w:p>
    <w:p>
      <w:pPr>
        <w:pStyle w:val="ListParagraph"/>
        <w:numPr>
          <w:ilvl w:val="0"/>
          <w:numId w:val="15"/>
        </w:numPr>
        <w:spacing w:line="360" w:lineRule="auto"/>
        <w:ind w:left="0" w:firstLine="480"/>
        <w:jc w:val="left"/>
        <w:rPr>
          <w:rFonts w:ascii="Times New Roman" w:eastAsia="宋体" w:hAnsi="Times New Roman" w:cs="Times New Roman"/>
          <w:sz w:val="24"/>
          <w:highlight w:val="none"/>
        </w:rPr>
      </w:pPr>
      <w:r>
        <w:rPr>
          <w:rFonts w:ascii="Times New Roman" w:eastAsia="宋体" w:hAnsi="Times New Roman" w:cs="Times New Roman"/>
          <w:sz w:val="24"/>
          <w:highlight w:val="none"/>
        </w:rPr>
        <w:t>技术环境。基站经过多年建设，设备集成度逐渐升高，但室外的部分几乎没有太大的改进。基于对辐射的担忧，群众对于庞大的天线总是心有余悸。虽然近几年兴起的美化天线在一定程度上减轻了视觉冲击，但因为造价高且城乡规划中无强制要求，并不是大部分站点都普遍采用。建筑物上天线林立的情况在一定程度上加大了群众对于电磁辐射的担忧，同时也影响城市市容景观。</w:t>
      </w:r>
    </w:p>
    <w:p>
      <w:pPr>
        <w:pStyle w:val="Heading3"/>
        <w:spacing w:before="156" w:beforeLines="50" w:after="0" w:line="360" w:lineRule="auto"/>
        <w:ind w:firstLine="420" w:firstLineChars="200"/>
        <w:rPr>
          <w:rFonts w:ascii="Times New Roman" w:eastAsia="宋体" w:hAnsi="Times New Roman" w:cs="Times New Roman"/>
          <w:bCs/>
          <w:sz w:val="24"/>
          <w:szCs w:val="24"/>
          <w:highlight w:val="none"/>
        </w:rPr>
      </w:pPr>
      <w:bookmarkStart w:id="40" w:name="_Toc6759"/>
      <w:bookmarkStart w:id="41" w:name="_Toc156229010"/>
      <w:r>
        <w:rPr>
          <w:rFonts w:ascii="Times New Roman" w:eastAsia="宋体" w:hAnsi="Times New Roman" w:cs="Times New Roman" w:hint="eastAsia"/>
          <w:bCs/>
          <w:sz w:val="24"/>
          <w:szCs w:val="24"/>
          <w:highlight w:val="none"/>
        </w:rPr>
        <w:t>2、下一步规划</w:t>
      </w:r>
      <w:r>
        <w:rPr>
          <w:rFonts w:ascii="Times New Roman" w:eastAsia="宋体" w:hAnsi="Times New Roman" w:cs="Times New Roman"/>
          <w:bCs/>
          <w:sz w:val="24"/>
          <w:szCs w:val="24"/>
          <w:highlight w:val="none"/>
        </w:rPr>
        <w:t>解决措施</w:t>
      </w:r>
      <w:bookmarkEnd w:id="40"/>
      <w:bookmarkEnd w:id="41"/>
    </w:p>
    <w:p>
      <w:pPr>
        <w:pStyle w:val="ListParagraph"/>
        <w:numPr>
          <w:ilvl w:val="0"/>
          <w:numId w:val="16"/>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结合运营商需求合理规划布局新规划区机房、管道、光缆等基础资源。</w:t>
      </w:r>
    </w:p>
    <w:p>
      <w:pPr>
        <w:pStyle w:val="ListParagraph"/>
        <w:numPr>
          <w:ilvl w:val="0"/>
          <w:numId w:val="16"/>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szCs w:val="24"/>
          <w:highlight w:val="none"/>
        </w:rPr>
        <w:t>从共建共享层面出发，合理规划机房、管道、容量，能够满足中长期多运营商及政府信息化建设需求，节约土地、空间面积。</w:t>
      </w:r>
      <w:r>
        <w:rPr>
          <w:rFonts w:ascii="Times New Roman" w:eastAsia="宋体" w:hAnsi="Times New Roman" w:cs="Times New Roman"/>
          <w:sz w:val="24"/>
          <w:highlight w:val="none"/>
        </w:rPr>
        <w:t>在规划方案上，对于话务量较高且难以选择基站机房的密集街道区域，应采取多种形式解决，可以考虑以室外型的街道站、光纤拉远以及景观化路灯的方式建设。规划设计时应充分考虑各类基站设备的选择及适用场景，配套设备的配备原则及适用场景，天馈系统的选择原则和安装方式。除此之外，在基站规划的投资构成中，除考虑主配设备、天线铁塔、租购建机房等成本外，还应考虑选址成本，因为这部分成本在基站建设中占据的比例越来越大。</w:t>
      </w:r>
    </w:p>
    <w:p>
      <w:pPr>
        <w:pStyle w:val="ListParagraph"/>
        <w:numPr>
          <w:ilvl w:val="0"/>
          <w:numId w:val="16"/>
        </w:numPr>
        <w:spacing w:line="360" w:lineRule="auto"/>
        <w:ind w:left="0" w:firstLine="480"/>
        <w:jc w:val="left"/>
        <w:rPr>
          <w:rFonts w:ascii="Times New Roman" w:eastAsia="宋体" w:hAnsi="Times New Roman" w:cs="Times New Roman"/>
          <w:sz w:val="24"/>
          <w:szCs w:val="24"/>
          <w:highlight w:val="none"/>
        </w:rPr>
      </w:pPr>
      <w:r>
        <w:rPr>
          <w:rFonts w:ascii="Times New Roman" w:eastAsia="宋体" w:hAnsi="Times New Roman" w:cs="Times New Roman"/>
          <w:sz w:val="24"/>
          <w:highlight w:val="none"/>
        </w:rPr>
        <w:t>推行景观化基站建设，降低群众顾虑。景观化基站建设的核心是推广景观塔及美化天线的使用，与基站周围环境协调一致，将基站铁塔、抱杆、天面进行美化。景观基站可以有效地改变基站视觉效果，一方面可以降低居民对电磁辐射的恐惧，减少建站的外界阻力，另一方面美化天线的应用，既美化了城市，在申报基站规划时更容易得到城乡规划部门和环保部门的认可，又倡导了移动通信绿色环保的理念。景观化基站将是基站建设发展的必然选择，近年来的经验表明，景观塔及美化天线相比传统塔和天线在基站建设中优势已逐渐显现。</w:t>
      </w:r>
    </w:p>
    <w:p>
      <w:pPr>
        <w:pStyle w:val="ListParagraph"/>
        <w:numPr>
          <w:ilvl w:val="0"/>
          <w:numId w:val="16"/>
        </w:numPr>
        <w:spacing w:line="360" w:lineRule="auto"/>
        <w:ind w:left="0" w:firstLine="480"/>
        <w:jc w:val="left"/>
        <w:rPr>
          <w:rFonts w:ascii="Times New Roman" w:eastAsia="宋体" w:hAnsi="Times New Roman" w:cs="Times New Roman"/>
          <w:sz w:val="24"/>
          <w:highlight w:val="none"/>
        </w:rPr>
      </w:pPr>
      <w:r>
        <w:rPr>
          <w:rFonts w:ascii="Times New Roman" w:eastAsia="宋体" w:hAnsi="Times New Roman" w:cs="Times New Roman"/>
          <w:sz w:val="24"/>
          <w:highlight w:val="none"/>
        </w:rPr>
        <w:t>积极宣传基站绿色环保建设理念。事实上基站的电磁辐射水平远低于国家规定的健康水平，群众产生误解的原因之一是宣传得太少或宣传方式过于理论化，缺少直接的感性认识。宣传时应注意采用大众易于接受的多种方式（例如与电磁炉、微波炉、电视机所发出的电磁辐射相比），或通过参与测试、体验，或通过专家论坛、科普讲座等多种方式，积极主动的加大宣传力度，使群众充分了解相关知识，消除恐惧心理。所谓电磁辐射，是指能量以电磁波形式由信号发射源发射到空间的现象。关于电磁辐射对人体健康是否有害的问题，世界卫生组织于1996年启动课题研究，包括中国在内有60多个国家参与该项研究，历经11年，2006年得出结论：过量的电磁辐射才会对人体产生危害，低频电磁辐射对人体健康影响微弱，儿童白血病及癌症、神经性疾病等与电磁辐射没有因果关系。</w:t>
      </w:r>
    </w:p>
    <w:p>
      <w:pPr>
        <w:pStyle w:val="ListParagraph"/>
        <w:numPr>
          <w:ilvl w:val="0"/>
          <w:numId w:val="16"/>
        </w:numPr>
        <w:spacing w:line="360" w:lineRule="auto"/>
        <w:ind w:left="0" w:firstLine="480"/>
        <w:jc w:val="left"/>
        <w:rPr>
          <w:rFonts w:ascii="Times New Roman" w:eastAsia="宋体" w:hAnsi="Times New Roman" w:cs="Times New Roman"/>
          <w:sz w:val="24"/>
          <w:highlight w:val="none"/>
        </w:rPr>
      </w:pPr>
      <w:r>
        <w:rPr>
          <w:rFonts w:ascii="Times New Roman" w:eastAsia="宋体" w:hAnsi="Times New Roman" w:cs="Times New Roman" w:hint="eastAsia"/>
          <w:sz w:val="24"/>
          <w:highlight w:val="none"/>
        </w:rPr>
        <w:t>现有</w:t>
      </w:r>
      <w:r>
        <w:rPr>
          <w:rFonts w:ascii="Times New Roman" w:eastAsia="宋体" w:hAnsi="Times New Roman" w:cs="Times New Roman"/>
          <w:sz w:val="24"/>
          <w:highlight w:val="none"/>
        </w:rPr>
        <w:t>《中华人民共和国电信条例》(2016年修订)、《广西壮族自治区电信设施建设与保护条例》(2018年修订)等相关法律法规，针对自主研发、自主创新技术不成熟问题，后期加大技术创新、人才建设投入。</w:t>
      </w:r>
    </w:p>
    <w:p>
      <w:pPr>
        <w:pStyle w:val="ListParagraph"/>
        <w:numPr>
          <w:ilvl w:val="0"/>
          <w:numId w:val="16"/>
        </w:numPr>
        <w:spacing w:line="360" w:lineRule="auto"/>
        <w:ind w:left="0" w:firstLine="480"/>
        <w:jc w:val="left"/>
        <w:rPr>
          <w:rFonts w:ascii="Times New Roman" w:eastAsia="宋体" w:hAnsi="Times New Roman" w:cs="Times New Roman"/>
          <w:sz w:val="24"/>
          <w:highlight w:val="none"/>
        </w:rPr>
      </w:pPr>
      <w:r>
        <w:rPr>
          <w:rFonts w:ascii="Times New Roman" w:eastAsia="宋体" w:hAnsi="Times New Roman" w:cs="Times New Roman"/>
          <w:sz w:val="24"/>
          <w:highlight w:val="none"/>
        </w:rPr>
        <w:t>将基站建设纳入城乡规划。要从根本上解决移动基站选址难的问题，最有效的办法就是将基站纳入城乡建设规划中。运营商将基站规划报给市政规划部门，由规划部门纳入各年度城乡建设规划，在公共用地上预留基站的建设用地。在写字楼和住宅小区建设审批工程中，将移动通信网络建设作为必需的配套项目进行审核。</w:t>
      </w:r>
    </w:p>
    <w:p>
      <w:pPr>
        <w:pStyle w:val="ListParagraph"/>
        <w:numPr>
          <w:ilvl w:val="0"/>
          <w:numId w:val="16"/>
        </w:numPr>
        <w:spacing w:line="360" w:lineRule="auto"/>
        <w:ind w:left="0" w:firstLine="480"/>
        <w:jc w:val="left"/>
        <w:rPr>
          <w:rFonts w:ascii="Times New Roman" w:eastAsia="宋体" w:hAnsi="Times New Roman" w:cs="Times New Roman"/>
          <w:sz w:val="24"/>
          <w:highlight w:val="none"/>
        </w:rPr>
      </w:pPr>
      <w:r>
        <w:rPr>
          <w:rFonts w:ascii="Times New Roman" w:eastAsia="宋体" w:hAnsi="Times New Roman" w:cs="Times New Roman"/>
          <w:sz w:val="24"/>
          <w:highlight w:val="none"/>
        </w:rPr>
        <w:t>要从根本上解决移动基站选址难的问题，最有效的办法就是将基站纳入城乡建设规划中。运营商将基站规划报给市政规划部门，由规划部门纳入各年度城乡建设规划，在公共用地上预留基站的建设用地。在写字楼和住宅小区建设审批工程中，将移动通信网络建设作为必需的配套项目进行审核。</w:t>
      </w:r>
    </w:p>
    <w:p>
      <w:pPr>
        <w:rPr>
          <w:rFonts w:ascii="宋体" w:eastAsia="宋体" w:hAnsi="宋体" w:cs="宋体"/>
          <w:sz w:val="32"/>
          <w:szCs w:val="32"/>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42" w:name="_Toc21401"/>
      <w:r>
        <w:rPr>
          <w:rFonts w:ascii="宋体" w:eastAsia="宋体" w:hAnsi="宋体" w:cs="宋体" w:hint="eastAsia"/>
          <w:sz w:val="32"/>
          <w:szCs w:val="32"/>
          <w:highlight w:val="none"/>
        </w:rPr>
        <w:t>第四章 5G发展影响因素分析</w:t>
      </w:r>
      <w:bookmarkEnd w:id="42"/>
    </w:p>
    <w:p>
      <w:pPr>
        <w:pStyle w:val="Heading3"/>
        <w:spacing w:line="360" w:lineRule="auto"/>
        <w:ind w:firstLine="420" w:firstLineChars="200"/>
        <w:rPr>
          <w:rFonts w:ascii="宋体" w:eastAsia="宋体" w:hAnsi="宋体" w:cs="宋体"/>
          <w:sz w:val="28"/>
          <w:szCs w:val="28"/>
          <w:highlight w:val="none"/>
        </w:rPr>
      </w:pPr>
      <w:bookmarkStart w:id="43" w:name="_Toc147849154"/>
      <w:bookmarkStart w:id="44" w:name="_Toc44954614"/>
      <w:bookmarkStart w:id="45" w:name="_Toc21509"/>
      <w:r>
        <w:rPr>
          <w:rFonts w:ascii="宋体" w:eastAsia="宋体" w:hAnsi="宋体" w:cs="宋体" w:hint="eastAsia"/>
          <w:sz w:val="28"/>
          <w:szCs w:val="28"/>
          <w:highlight w:val="none"/>
        </w:rPr>
        <w:t>一、宏观政策</w:t>
      </w:r>
      <w:bookmarkEnd w:id="43"/>
      <w:bookmarkEnd w:id="44"/>
      <w:bookmarkEnd w:id="45"/>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规划期内，我国将处于中华民族伟大复兴的战略全局和世界百年未有之大变局这两个大局之中。全球新一轮科技革命和产业变革呈加速趋势，以信息技术深度和全面应用为特征的技术革命迅猛发展，带动相关领域的创新突破以及新业态的不断出现，数字化、网络化、智能化加速推进。全球经济治理呈现多元化、多极化趋势，全球经贸规则制定权之争日益凸显，各国竞争加剧。逆全球化思潮和贸易保护主义抬头，将导致国际环境中不确定因素提升。以中国为代表的新兴大国与以美国为代表的守成大国之间，既有合作又有竞争，相互之间的博弈将进一步加剧。科技领域是中美经贸摩擦的焦点。美国欲争夺5G领先优势地位，把我国定位为战略竞争者，在一些高科技领域实行出口管制。</w:t>
      </w:r>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疫情打乱经济企稳节奏，加重经济下行压力。政府加大宏观政策调节、加大新基建的投入力度、加快以5G为核心的新基建建设进程，促进“投资+消费”双升级，带动产业发展和经济恢复。新型基础设施是以新发展理念为引领，以技术创新为驱动，以信息网络为基础，面向高质量发展需要，提供数字转型、智能升级、融合创新等服务的基础设施体系。</w:t>
      </w:r>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基于这样的形势，规划期内自治区将深入贯彻落实习近平总书记对广西工作的重要指示精神和“三大定位”新使命、“五个扎实”新要求，深入实施“网络强国”和“数字广西”战略行动计划，持续推动“互联网+”，促进信息消费，以服务广西经济社会稳定发展和积极转型为主线，加速夯实信息通信网络基础，推动自治区信息通信行业实现新的跨越。</w:t>
      </w:r>
    </w:p>
    <w:p>
      <w:pPr>
        <w:pStyle w:val="Heading3"/>
        <w:spacing w:line="360" w:lineRule="auto"/>
        <w:ind w:firstLine="420" w:firstLineChars="200"/>
        <w:rPr>
          <w:rFonts w:ascii="宋体" w:eastAsia="宋体" w:hAnsi="宋体" w:cs="宋体"/>
          <w:sz w:val="28"/>
          <w:szCs w:val="28"/>
          <w:highlight w:val="none"/>
        </w:rPr>
      </w:pPr>
      <w:bookmarkStart w:id="46" w:name="_Toc147849155"/>
      <w:bookmarkStart w:id="47" w:name="_Toc44954615"/>
      <w:bookmarkStart w:id="48" w:name="_Toc6183"/>
      <w:r>
        <w:rPr>
          <w:rFonts w:ascii="宋体" w:eastAsia="宋体" w:hAnsi="宋体" w:cs="宋体" w:hint="eastAsia"/>
          <w:sz w:val="28"/>
          <w:szCs w:val="28"/>
          <w:highlight w:val="none"/>
        </w:rPr>
        <w:t>二、社会经济</w:t>
      </w:r>
      <w:bookmarkEnd w:id="46"/>
      <w:bookmarkEnd w:id="47"/>
      <w:bookmarkEnd w:id="48"/>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在社会经济发展和转型的过程中，5G作为新一轮科技革命和产业变革的前沿领域，是培育新动能的重要方向，是驱动经济发展的新引擎，5G发展将有力支撑网络强国、数字广西、智慧社会建设，让信息化发展成果更多、更公平地惠及广西人民。</w:t>
      </w:r>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5G对经济的作用体现在两方面，一方面是以5G为代表的新基建投资直接拉动GDP增长；另一方面促进5G等技术赋能传统产业向数字化转型，带来巨大的产出增量。当前，我国正处在数字化转型的关键时期，需要充分利用5G在带宽、时延、连接数量方面的优势，赋能经济社会高质量发展。</w:t>
      </w:r>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5G与工业互联网互为牵引。实现5G与工业互联网行业各领域深度融合，将有效提高全要素生产力，提升生产效率，显著降低企业运营成本，促进产品质量大幅度提高，优化制造资源配置，提升产品高端化、装备高端化和生产智能化水平，全面推动产业从自动化向数字化、网络化、智能化转型。生产制造水平更加精益、供需匹配质量更加精准、产业分工更加细化，传统产业得到优化升级，新旧动能转换加快。</w:t>
      </w:r>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5G将有效拉动云计算、数据中心的发展。5G网络本身就是云化的网络，5G将促进数据中心的发展，特别是5G的高带宽特性将为数据中心的发展提供一个更好的网络环境，同时也为整个云计算的发展带来更多的应用机会。</w:t>
      </w:r>
    </w:p>
    <w:p>
      <w:pPr>
        <w:widowControl/>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5G与人工智能正在相互促进。5G网络是一个智能运营的网络，5G的智能运营离不开人工智能；与此同时，5G发展也将为人工智能的发展提供一个更加良好的网络环境。</w:t>
      </w:r>
    </w:p>
    <w:p>
      <w:pPr>
        <w:pStyle w:val="Heading3"/>
        <w:spacing w:line="348" w:lineRule="auto"/>
        <w:ind w:firstLine="420" w:firstLineChars="200"/>
        <w:rPr>
          <w:rFonts w:ascii="宋体" w:eastAsia="宋体" w:hAnsi="宋体" w:cs="宋体" w:hint="eastAsia"/>
          <w:sz w:val="28"/>
          <w:szCs w:val="28"/>
          <w:highlight w:val="none"/>
          <w:lang w:val="en-US" w:eastAsia="zh-CN"/>
        </w:rPr>
      </w:pPr>
      <w:bookmarkStart w:id="49" w:name="_Toc147849156"/>
      <w:bookmarkStart w:id="50" w:name="_Toc44954616"/>
      <w:bookmarkStart w:id="51" w:name="_Toc24386"/>
      <w:r>
        <w:rPr>
          <w:rFonts w:ascii="宋体" w:eastAsia="宋体" w:hAnsi="宋体" w:cs="宋体" w:hint="eastAsia"/>
          <w:sz w:val="28"/>
          <w:szCs w:val="28"/>
          <w:highlight w:val="none"/>
          <w:lang w:val="en-US" w:eastAsia="zh-CN"/>
        </w:rPr>
        <w:t>三、</w:t>
      </w:r>
      <w:bookmarkEnd w:id="49"/>
      <w:bookmarkEnd w:id="50"/>
      <w:r>
        <w:rPr>
          <w:rFonts w:ascii="宋体" w:eastAsia="宋体" w:hAnsi="宋体" w:cs="宋体" w:hint="eastAsia"/>
          <w:sz w:val="28"/>
          <w:szCs w:val="28"/>
          <w:highlight w:val="none"/>
          <w:lang w:val="en-US" w:eastAsia="zh-CN"/>
        </w:rPr>
        <w:t>5G通信设施与深沿海和低空经济之间的关联关系</w:t>
      </w:r>
      <w:bookmarkEnd w:id="51"/>
    </w:p>
    <w:p>
      <w:pPr>
        <w:widowControl/>
        <w:spacing w:line="420" w:lineRule="auto"/>
        <w:ind w:firstLine="210" w:firstLineChars="100"/>
        <w:rPr>
          <w:rFonts w:ascii="宋体" w:eastAsia="宋体" w:hAnsi="宋体" w:cs="宋体" w:hint="eastAsia"/>
          <w:sz w:val="24"/>
          <w:szCs w:val="24"/>
          <w:highlight w:val="none"/>
        </w:rPr>
      </w:pPr>
      <w:bookmarkStart w:id="52" w:name="_Toc147849157"/>
      <w:bookmarkStart w:id="53" w:name="_Toc44954617"/>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lang w:val="en-US" w:eastAsia="zh-CN"/>
        </w:rPr>
        <w:t>1</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深沿海经济中的5G应用</w:t>
      </w:r>
    </w:p>
    <w:p>
      <w:pPr>
        <w:widowControl/>
        <w:spacing w:line="420" w:lineRule="auto"/>
        <w:ind w:firstLine="480"/>
        <w:rPr>
          <w:rFonts w:ascii="宋体" w:eastAsia="宋体" w:hAnsi="宋体" w:cs="宋体" w:hint="eastAsia"/>
          <w:sz w:val="24"/>
          <w:szCs w:val="24"/>
          <w:highlight w:val="none"/>
        </w:rPr>
      </w:pPr>
      <w:r>
        <w:rPr>
          <w:rFonts w:ascii="宋体" w:eastAsia="宋体" w:hAnsi="宋体" w:cs="宋体" w:hint="eastAsia"/>
          <w:sz w:val="24"/>
          <w:szCs w:val="24"/>
          <w:highlight w:val="none"/>
        </w:rPr>
        <w:t>北部湾是我国面积最大的海湾，在港口、航道、渔业、旅游等方面有着极其丰富的5G应用场景。</w:t>
      </w:r>
    </w:p>
    <w:p>
      <w:pPr>
        <w:widowControl/>
        <w:spacing w:line="420" w:lineRule="auto"/>
        <w:ind w:firstLine="480"/>
        <w:rPr>
          <w:rFonts w:ascii="宋体" w:eastAsia="宋体" w:hAnsi="宋体" w:cs="宋体" w:hint="eastAsia"/>
          <w:sz w:val="24"/>
          <w:szCs w:val="24"/>
          <w:highlight w:val="none"/>
          <w:lang w:eastAsia="zh-CN"/>
        </w:rPr>
      </w:pPr>
      <w:r>
        <w:rPr>
          <w:rFonts w:ascii="宋体" w:eastAsia="宋体" w:hAnsi="宋体" w:cs="宋体" w:hint="eastAsia"/>
          <w:sz w:val="24"/>
          <w:szCs w:val="24"/>
          <w:highlight w:val="none"/>
        </w:rPr>
        <w:t>港口：有防城港、钦州港、北海港等主要港口，北部湾正致力于打造陆海新通道国际门户港、“千万标箱”干线港和区域性国际航运中心</w:t>
      </w:r>
      <w:r>
        <w:rPr>
          <w:rFonts w:ascii="宋体" w:eastAsia="宋体" w:hAnsi="宋体" w:cs="宋体" w:hint="eastAsia"/>
          <w:sz w:val="24"/>
          <w:szCs w:val="24"/>
          <w:highlight w:val="none"/>
          <w:lang w:eastAsia="zh-CN"/>
        </w:rPr>
        <w:t>，202</w:t>
      </w:r>
      <w:r>
        <w:rPr>
          <w:rFonts w:ascii="宋体" w:eastAsia="宋体" w:hAnsi="宋体" w:cs="宋体" w:hint="eastAsia"/>
          <w:sz w:val="24"/>
          <w:szCs w:val="24"/>
          <w:highlight w:val="none"/>
          <w:lang w:val="en-US" w:eastAsia="zh-CN"/>
        </w:rPr>
        <w:t>3</w:t>
      </w:r>
      <w:r>
        <w:rPr>
          <w:rFonts w:ascii="宋体" w:eastAsia="宋体" w:hAnsi="宋体" w:cs="宋体" w:hint="eastAsia"/>
          <w:sz w:val="24"/>
          <w:szCs w:val="24"/>
          <w:highlight w:val="none"/>
          <w:lang w:eastAsia="zh-CN"/>
        </w:rPr>
        <w:t>年北部湾港（</w:t>
      </w:r>
      <w:r>
        <w:rPr>
          <w:rFonts w:ascii="宋体" w:eastAsia="宋体" w:hAnsi="宋体" w:cs="宋体" w:hint="eastAsia"/>
          <w:sz w:val="24"/>
          <w:szCs w:val="24"/>
          <w:highlight w:val="none"/>
          <w:lang w:val="en-US" w:eastAsia="zh-CN"/>
        </w:rPr>
        <w:t>本港</w:t>
      </w:r>
      <w:r>
        <w:rPr>
          <w:rFonts w:ascii="宋体" w:eastAsia="宋体" w:hAnsi="宋体" w:cs="宋体" w:hint="eastAsia"/>
          <w:sz w:val="24"/>
          <w:szCs w:val="24"/>
          <w:highlight w:val="none"/>
          <w:lang w:eastAsia="zh-CN"/>
        </w:rPr>
        <w:t>）货物吞吐量达到3.</w:t>
      </w:r>
      <w:r>
        <w:rPr>
          <w:rFonts w:ascii="宋体" w:eastAsia="宋体" w:hAnsi="宋体" w:cs="宋体" w:hint="eastAsia"/>
          <w:sz w:val="24"/>
          <w:szCs w:val="24"/>
          <w:highlight w:val="none"/>
          <w:lang w:val="en-US" w:eastAsia="zh-CN"/>
        </w:rPr>
        <w:t>1</w:t>
      </w:r>
      <w:r>
        <w:rPr>
          <w:rFonts w:ascii="宋体" w:eastAsia="宋体" w:hAnsi="宋体" w:cs="宋体" w:hint="eastAsia"/>
          <w:sz w:val="24"/>
          <w:szCs w:val="24"/>
          <w:highlight w:val="none"/>
          <w:lang w:eastAsia="zh-CN"/>
        </w:rPr>
        <w:t>亿吨，预计到2025年底将达4.5亿吨。</w:t>
      </w:r>
    </w:p>
    <w:p>
      <w:pPr>
        <w:widowControl/>
        <w:spacing w:line="420" w:lineRule="auto"/>
        <w:ind w:firstLine="480"/>
        <w:rPr>
          <w:rFonts w:ascii="宋体" w:eastAsia="宋体" w:hAnsi="宋体" w:cs="宋体" w:hint="eastAsia"/>
          <w:sz w:val="24"/>
          <w:szCs w:val="24"/>
          <w:highlight w:val="none"/>
        </w:rPr>
      </w:pPr>
      <w:r>
        <w:rPr>
          <w:rFonts w:ascii="宋体" w:eastAsia="宋体" w:hAnsi="宋体" w:cs="宋体" w:hint="eastAsia"/>
          <w:sz w:val="24"/>
          <w:szCs w:val="24"/>
          <w:highlight w:val="none"/>
        </w:rPr>
        <w:t>航道： 有通达东南亚、广东、海南等多条航道，在北部湾近海有12个万吨级海轮接驳锚地和原油接驳锚地</w:t>
      </w:r>
    </w:p>
    <w:p>
      <w:pPr>
        <w:widowControl/>
        <w:spacing w:line="420" w:lineRule="auto"/>
        <w:ind w:firstLine="480"/>
        <w:rPr>
          <w:rFonts w:ascii="宋体" w:eastAsia="宋体" w:hAnsi="宋体" w:cs="宋体" w:hint="eastAsia"/>
          <w:sz w:val="24"/>
          <w:szCs w:val="24"/>
          <w:highlight w:val="none"/>
          <w:lang w:eastAsia="zh-CN"/>
        </w:rPr>
      </w:pPr>
      <w:r>
        <w:rPr>
          <w:rFonts w:ascii="宋体" w:eastAsia="宋体" w:hAnsi="宋体" w:cs="宋体" w:hint="eastAsia"/>
          <w:sz w:val="24"/>
          <w:szCs w:val="24"/>
          <w:highlight w:val="none"/>
          <w:lang w:eastAsia="zh-CN"/>
        </w:rPr>
        <w:t>渔业：</w:t>
      </w:r>
      <w:r>
        <w:rPr>
          <w:rFonts w:ascii="宋体" w:eastAsia="宋体" w:hAnsi="宋体" w:cs="宋体" w:hint="eastAsia"/>
          <w:sz w:val="24"/>
          <w:szCs w:val="24"/>
          <w:highlight w:val="none"/>
        </w:rPr>
        <w:t>北部湾渔场是我国</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四大渔场</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之一，</w:t>
      </w:r>
      <w:r>
        <w:rPr>
          <w:rFonts w:ascii="宋体" w:eastAsia="宋体" w:hAnsi="宋体" w:cs="宋体" w:hint="eastAsia"/>
          <w:sz w:val="24"/>
          <w:szCs w:val="24"/>
          <w:highlight w:val="none"/>
          <w:lang w:val="en-US" w:eastAsia="zh-CN"/>
        </w:rPr>
        <w:t>拥有</w:t>
      </w:r>
      <w:r>
        <w:rPr>
          <w:rFonts w:ascii="宋体" w:eastAsia="宋体" w:hAnsi="宋体" w:cs="宋体" w:hint="eastAsia"/>
          <w:sz w:val="24"/>
          <w:szCs w:val="24"/>
          <w:highlight w:val="none"/>
        </w:rPr>
        <w:t>近海100+产品养殖场</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渔船</w:t>
      </w:r>
      <w:r>
        <w:rPr>
          <w:rFonts w:ascii="宋体" w:eastAsia="宋体" w:hAnsi="宋体" w:cs="宋体" w:hint="eastAsia"/>
          <w:sz w:val="24"/>
          <w:szCs w:val="24"/>
          <w:highlight w:val="none"/>
          <w:lang w:val="en-US" w:eastAsia="zh-CN"/>
        </w:rPr>
        <w:t>超</w:t>
      </w:r>
      <w:r>
        <w:rPr>
          <w:rFonts w:ascii="宋体" w:eastAsia="宋体" w:hAnsi="宋体" w:cs="宋体" w:hint="eastAsia"/>
          <w:sz w:val="24"/>
          <w:szCs w:val="24"/>
          <w:highlight w:val="none"/>
        </w:rPr>
        <w:t>1.</w:t>
      </w:r>
      <w:r>
        <w:rPr>
          <w:rFonts w:ascii="宋体" w:eastAsia="宋体" w:hAnsi="宋体" w:cs="宋体" w:hint="eastAsia"/>
          <w:sz w:val="24"/>
          <w:szCs w:val="24"/>
          <w:highlight w:val="none"/>
          <w:lang w:val="en-US" w:eastAsia="zh-CN"/>
        </w:rPr>
        <w:t>3</w:t>
      </w:r>
      <w:r>
        <w:rPr>
          <w:rFonts w:ascii="宋体" w:eastAsia="宋体" w:hAnsi="宋体" w:cs="宋体" w:hint="eastAsia"/>
          <w:sz w:val="24"/>
          <w:szCs w:val="24"/>
          <w:highlight w:val="none"/>
        </w:rPr>
        <w:t>万艘</w:t>
      </w:r>
      <w:r>
        <w:rPr>
          <w:rFonts w:ascii="宋体" w:eastAsia="宋体" w:hAnsi="宋体" w:cs="宋体" w:hint="eastAsia"/>
          <w:sz w:val="24"/>
          <w:szCs w:val="24"/>
          <w:highlight w:val="none"/>
          <w:lang w:eastAsia="zh-CN"/>
        </w:rPr>
        <w:t>。</w:t>
      </w:r>
    </w:p>
    <w:p>
      <w:pPr>
        <w:widowControl/>
        <w:spacing w:line="420" w:lineRule="auto"/>
        <w:ind w:firstLine="480"/>
        <w:rPr>
          <w:rFonts w:ascii="宋体" w:eastAsia="宋体" w:hAnsi="宋体" w:cs="宋体" w:hint="eastAsia"/>
          <w:sz w:val="24"/>
          <w:szCs w:val="24"/>
          <w:highlight w:val="none"/>
        </w:rPr>
      </w:pPr>
      <w:r>
        <w:rPr>
          <w:rFonts w:ascii="宋体" w:eastAsia="宋体" w:hAnsi="宋体" w:cs="宋体" w:hint="eastAsia"/>
          <w:sz w:val="24"/>
          <w:szCs w:val="24"/>
          <w:highlight w:val="none"/>
          <w:lang w:eastAsia="zh-CN"/>
        </w:rPr>
        <w:t>旅游：</w:t>
      </w:r>
      <w:r>
        <w:rPr>
          <w:rFonts w:ascii="宋体" w:eastAsia="宋体" w:hAnsi="宋体" w:cs="宋体" w:hint="eastAsia"/>
          <w:sz w:val="24"/>
          <w:szCs w:val="24"/>
          <w:highlight w:val="none"/>
        </w:rPr>
        <w:t>有</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天下第一滩</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美誉的北海银滩，最年轻火山岛北海涠洲岛、钦州三娘湾等旅游景区，以及北海-涠洲岛旅游航线等</w:t>
      </w:r>
      <w:r>
        <w:rPr>
          <w:rFonts w:ascii="宋体" w:eastAsia="宋体" w:hAnsi="宋体" w:cs="宋体" w:hint="eastAsia"/>
          <w:sz w:val="24"/>
          <w:szCs w:val="24"/>
          <w:highlight w:val="none"/>
          <w:lang w:eastAsia="zh-CN"/>
        </w:rPr>
        <w:t>。</w:t>
      </w:r>
    </w:p>
    <w:p>
      <w:pPr>
        <w:widowControl/>
        <w:spacing w:line="420" w:lineRule="auto"/>
        <w:ind w:firstLine="480"/>
        <w:rPr>
          <w:rFonts w:ascii="宋体" w:eastAsia="宋体" w:hAnsi="宋体" w:cs="宋体" w:hint="eastAsia"/>
          <w:sz w:val="24"/>
          <w:szCs w:val="24"/>
          <w:highlight w:val="none"/>
          <w:lang w:eastAsia="zh-CN"/>
        </w:rPr>
      </w:pPr>
      <w:r>
        <w:rPr>
          <w:rFonts w:ascii="宋体" w:eastAsia="宋体" w:hAnsi="宋体" w:cs="宋体" w:hint="eastAsia"/>
          <w:sz w:val="24"/>
          <w:szCs w:val="24"/>
          <w:highlight w:val="none"/>
        </w:rPr>
        <w:t>5G相较于传统的无线网络技术，具备更大带宽、更低时延特性</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lang w:val="en-US" w:eastAsia="zh-CN"/>
        </w:rPr>
        <w:t>通过5G通信基础设施的完善，</w:t>
      </w:r>
      <w:r>
        <w:rPr>
          <w:rFonts w:ascii="宋体" w:eastAsia="宋体" w:hAnsi="宋体" w:cs="宋体" w:hint="eastAsia"/>
          <w:sz w:val="24"/>
          <w:szCs w:val="24"/>
          <w:highlight w:val="none"/>
        </w:rPr>
        <w:t>可帮助</w:t>
      </w:r>
      <w:r>
        <w:rPr>
          <w:rFonts w:ascii="宋体" w:eastAsia="宋体" w:hAnsi="宋体" w:cs="宋体" w:hint="eastAsia"/>
          <w:sz w:val="24"/>
          <w:szCs w:val="24"/>
          <w:highlight w:val="none"/>
          <w:lang w:val="en-US" w:eastAsia="zh-CN"/>
        </w:rPr>
        <w:t>深沿海经济</w:t>
      </w:r>
      <w:r>
        <w:rPr>
          <w:rFonts w:ascii="宋体" w:eastAsia="宋体" w:hAnsi="宋体" w:cs="宋体" w:hint="eastAsia"/>
          <w:sz w:val="24"/>
          <w:szCs w:val="24"/>
          <w:highlight w:val="none"/>
        </w:rPr>
        <w:t>产业规避光纤等有线通信部署面临周期长、早期建设预判难等问题，可以更加灵活</w:t>
      </w:r>
      <w:r>
        <w:rPr>
          <w:rFonts w:ascii="宋体" w:eastAsia="宋体" w:hAnsi="宋体" w:cs="宋体" w:hint="eastAsia"/>
          <w:sz w:val="24"/>
          <w:szCs w:val="24"/>
          <w:highlight w:val="none"/>
          <w:lang w:val="en-US" w:eastAsia="zh-CN"/>
        </w:rPr>
        <w:t>地</w:t>
      </w:r>
      <w:r>
        <w:rPr>
          <w:rFonts w:ascii="宋体" w:eastAsia="宋体" w:hAnsi="宋体" w:cs="宋体" w:hint="eastAsia"/>
          <w:sz w:val="24"/>
          <w:szCs w:val="24"/>
          <w:highlight w:val="none"/>
        </w:rPr>
        <w:t>解决港口和近海通信连接比如渔船定位、港机远控、智能理货、视频监控类需求</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同时智慧港口和智慧海洋的建设及管理无疑是今后发展的重要课题</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5G</w:t>
      </w:r>
      <w:r>
        <w:rPr>
          <w:rFonts w:ascii="宋体" w:eastAsia="宋体" w:hAnsi="宋体" w:cs="宋体" w:hint="eastAsia"/>
          <w:sz w:val="24"/>
          <w:szCs w:val="24"/>
          <w:highlight w:val="none"/>
          <w:lang w:val="en-US" w:eastAsia="zh-CN"/>
        </w:rPr>
        <w:t>技术</w:t>
      </w:r>
      <w:r>
        <w:rPr>
          <w:rFonts w:ascii="宋体" w:eastAsia="宋体" w:hAnsi="宋体" w:cs="宋体" w:hint="eastAsia"/>
          <w:sz w:val="24"/>
          <w:szCs w:val="24"/>
          <w:highlight w:val="none"/>
        </w:rPr>
        <w:t>可以降低港口和近海产业信息化、智能化改造门槛，大幅缩减建网成本</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促进传统码头和近海产业全面自动化改造，创造更多新的应用，提升生产效率</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lang w:val="en-US" w:eastAsia="zh-CN"/>
        </w:rPr>
        <w:t>进而</w:t>
      </w:r>
      <w:r>
        <w:rPr>
          <w:rFonts w:ascii="宋体" w:eastAsia="宋体" w:hAnsi="宋体" w:cs="宋体" w:hint="eastAsia"/>
          <w:sz w:val="24"/>
          <w:szCs w:val="24"/>
          <w:highlight w:val="none"/>
        </w:rPr>
        <w:t>为“向海经济”的发展提供强有力支撑，助力广西不断擦亮海洋经济金字招牌，赋能海洋强国建设</w:t>
      </w:r>
      <w:r>
        <w:rPr>
          <w:rFonts w:ascii="宋体" w:eastAsia="宋体" w:hAnsi="宋体" w:cs="宋体" w:hint="eastAsia"/>
          <w:sz w:val="24"/>
          <w:szCs w:val="24"/>
          <w:highlight w:val="none"/>
          <w:lang w:eastAsia="zh-CN"/>
        </w:rPr>
        <w:t>。</w:t>
      </w:r>
    </w:p>
    <w:p>
      <w:pPr>
        <w:widowControl/>
        <w:spacing w:line="420" w:lineRule="auto"/>
        <w:ind w:firstLine="480"/>
        <w:rPr>
          <w:rFonts w:ascii="宋体" w:eastAsia="宋体" w:hAnsi="宋体" w:cs="宋体" w:hint="eastAsia"/>
          <w:sz w:val="24"/>
          <w:szCs w:val="24"/>
          <w:highlight w:val="none"/>
        </w:rPr>
      </w:pP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lang w:val="en-US" w:eastAsia="zh-CN"/>
        </w:rPr>
        <w:t>2</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低空经济中的5G应用</w:t>
      </w:r>
    </w:p>
    <w:p>
      <w:pPr>
        <w:widowControl/>
        <w:spacing w:line="420" w:lineRule="auto"/>
        <w:ind w:firstLine="480"/>
        <w:rPr>
          <w:rFonts w:ascii="宋体" w:eastAsia="宋体" w:hAnsi="宋体" w:cs="宋体" w:hint="eastAsia"/>
          <w:sz w:val="24"/>
          <w:szCs w:val="24"/>
          <w:highlight w:val="none"/>
        </w:rPr>
      </w:pPr>
      <w:r>
        <w:rPr>
          <w:rFonts w:ascii="宋体" w:eastAsia="宋体" w:hAnsi="宋体" w:cs="宋体" w:hint="eastAsia"/>
          <w:sz w:val="24"/>
          <w:szCs w:val="24"/>
          <w:highlight w:val="none"/>
        </w:rPr>
        <w:t>深化北海市5G通信设施与深沿海和低空经济之间的关联关系，需要继续加强5G网络在海域和低空空域的覆盖和建设，推动技术创新和应用创新。通过构建完善的5G通信网络，可以显著提升海洋渔业、海洋交通、低空飞行等领域的信息化水平和安全保障能力，为相关产业的融合发展提供有力支撑。</w:t>
      </w:r>
    </w:p>
    <w:p>
      <w:pPr>
        <w:widowControl/>
        <w:spacing w:line="420" w:lineRule="auto"/>
        <w:ind w:firstLine="480"/>
        <w:rPr>
          <w:rFonts w:ascii="宋体" w:eastAsia="宋体" w:hAnsi="宋体" w:cs="宋体" w:hint="eastAsia"/>
          <w:sz w:val="24"/>
          <w:szCs w:val="24"/>
          <w:highlight w:val="none"/>
          <w:lang w:eastAsia="zh-CN"/>
        </w:rPr>
      </w:pPr>
      <w:r>
        <w:rPr>
          <w:rFonts w:ascii="宋体" w:eastAsia="宋体" w:hAnsi="宋体" w:cs="宋体" w:hint="eastAsia"/>
          <w:sz w:val="24"/>
          <w:szCs w:val="24"/>
          <w:highlight w:val="none"/>
          <w:lang w:val="en-US" w:eastAsia="zh-CN"/>
        </w:rPr>
        <w:t>随着</w:t>
      </w:r>
      <w:r>
        <w:rPr>
          <w:rFonts w:ascii="宋体" w:eastAsia="宋体" w:hAnsi="宋体" w:cs="宋体" w:hint="eastAsia"/>
          <w:sz w:val="24"/>
          <w:szCs w:val="24"/>
          <w:highlight w:val="none"/>
        </w:rPr>
        <w:t>5G-A（5G-Advanced）</w:t>
      </w:r>
      <w:r>
        <w:rPr>
          <w:rFonts w:ascii="宋体" w:eastAsia="宋体" w:hAnsi="宋体" w:cs="宋体" w:hint="eastAsia"/>
          <w:sz w:val="24"/>
          <w:szCs w:val="24"/>
          <w:highlight w:val="none"/>
          <w:lang w:val="en-US" w:eastAsia="zh-CN"/>
        </w:rPr>
        <w:t>等技术的商用落地</w:t>
      </w:r>
      <w:r>
        <w:rPr>
          <w:rFonts w:ascii="宋体" w:eastAsia="宋体" w:hAnsi="宋体" w:cs="宋体" w:hint="eastAsia"/>
          <w:sz w:val="24"/>
          <w:szCs w:val="24"/>
          <w:highlight w:val="none"/>
        </w:rPr>
        <w:t>，在通信能力、覆盖范围、时延等方面有显著提升，未来有望在低空经济中发挥</w:t>
      </w:r>
      <w:r>
        <w:rPr>
          <w:rFonts w:ascii="宋体" w:eastAsia="宋体" w:hAnsi="宋体" w:cs="宋体" w:hint="eastAsia"/>
          <w:sz w:val="24"/>
          <w:szCs w:val="24"/>
          <w:highlight w:val="none"/>
          <w:lang w:val="en-US" w:eastAsia="zh-CN"/>
        </w:rPr>
        <w:t>更加</w:t>
      </w:r>
      <w:r>
        <w:rPr>
          <w:rFonts w:ascii="宋体" w:eastAsia="宋体" w:hAnsi="宋体" w:cs="宋体" w:hint="eastAsia"/>
          <w:sz w:val="24"/>
          <w:szCs w:val="24"/>
          <w:highlight w:val="none"/>
        </w:rPr>
        <w:t>重要</w:t>
      </w:r>
      <w:r>
        <w:rPr>
          <w:rFonts w:ascii="宋体" w:eastAsia="宋体" w:hAnsi="宋体" w:cs="宋体" w:hint="eastAsia"/>
          <w:sz w:val="24"/>
          <w:szCs w:val="24"/>
          <w:highlight w:val="none"/>
          <w:lang w:eastAsia="zh-CN"/>
        </w:rPr>
        <w:t>的</w:t>
      </w:r>
      <w:r>
        <w:rPr>
          <w:rFonts w:ascii="宋体" w:eastAsia="宋体" w:hAnsi="宋体" w:cs="宋体" w:hint="eastAsia"/>
          <w:sz w:val="24"/>
          <w:szCs w:val="24"/>
          <w:highlight w:val="none"/>
        </w:rPr>
        <w:t>作用</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lang w:val="en-US" w:eastAsia="zh-CN"/>
        </w:rPr>
        <w:t>尤其</w:t>
      </w:r>
      <w:r>
        <w:rPr>
          <w:rFonts w:ascii="宋体" w:eastAsia="宋体" w:hAnsi="宋体" w:cs="宋体" w:hint="eastAsia"/>
          <w:sz w:val="24"/>
          <w:szCs w:val="24"/>
          <w:highlight w:val="none"/>
        </w:rPr>
        <w:t>在海洋监测、渔业执法、港口巡检等领域</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lang w:val="en-US" w:eastAsia="zh-CN"/>
        </w:rPr>
        <w:t>通过</w:t>
      </w:r>
      <w:r>
        <w:rPr>
          <w:rFonts w:ascii="宋体" w:eastAsia="宋体" w:hAnsi="宋体" w:cs="宋体" w:hint="eastAsia"/>
          <w:sz w:val="24"/>
          <w:szCs w:val="24"/>
          <w:highlight w:val="none"/>
        </w:rPr>
        <w:t>构建覆盖低空空域的通信、导航和感知网络，</w:t>
      </w:r>
      <w:r>
        <w:rPr>
          <w:rFonts w:ascii="宋体" w:eastAsia="宋体" w:hAnsi="宋体" w:cs="宋体" w:hint="eastAsia"/>
          <w:sz w:val="24"/>
          <w:szCs w:val="24"/>
          <w:highlight w:val="none"/>
          <w:lang w:val="en-US" w:eastAsia="zh-CN"/>
        </w:rPr>
        <w:t>助力低空作业</w:t>
      </w:r>
      <w:r>
        <w:rPr>
          <w:rFonts w:ascii="宋体" w:eastAsia="宋体" w:hAnsi="宋体" w:cs="宋体" w:hint="eastAsia"/>
          <w:sz w:val="24"/>
          <w:szCs w:val="24"/>
          <w:highlight w:val="none"/>
        </w:rPr>
        <w:t>的任务分配、路径规划和数据传输，实现高清视频传输</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实时数据分析</w:t>
      </w:r>
      <w:r>
        <w:rPr>
          <w:rFonts w:ascii="宋体" w:eastAsia="宋体" w:hAnsi="宋体" w:cs="宋体" w:hint="eastAsia"/>
          <w:sz w:val="24"/>
          <w:szCs w:val="24"/>
          <w:highlight w:val="none"/>
          <w:lang w:val="en-US" w:eastAsia="zh-CN"/>
        </w:rPr>
        <w:t>和低空飞行器</w:t>
      </w:r>
      <w:r>
        <w:rPr>
          <w:rFonts w:ascii="宋体" w:eastAsia="宋体" w:hAnsi="宋体" w:cs="宋体" w:hint="eastAsia"/>
          <w:sz w:val="24"/>
          <w:szCs w:val="24"/>
          <w:highlight w:val="none"/>
        </w:rPr>
        <w:t>的精细化管控</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推动低空经济的规模化发展</w:t>
      </w:r>
      <w:r>
        <w:rPr>
          <w:rFonts w:ascii="宋体" w:eastAsia="宋体" w:hAnsi="宋体" w:cs="宋体" w:hint="eastAsia"/>
          <w:sz w:val="24"/>
          <w:szCs w:val="24"/>
          <w:highlight w:val="none"/>
          <w:lang w:eastAsia="zh-CN"/>
        </w:rPr>
        <w:t>。</w:t>
      </w:r>
    </w:p>
    <w:p>
      <w:pPr>
        <w:pStyle w:val="Heading3"/>
        <w:spacing w:line="348" w:lineRule="auto"/>
        <w:ind w:firstLine="420" w:firstLineChars="200"/>
        <w:rPr>
          <w:rFonts w:ascii="宋体" w:eastAsia="宋体" w:hAnsi="宋体" w:cs="宋体" w:hint="eastAsia"/>
          <w:sz w:val="28"/>
          <w:szCs w:val="28"/>
          <w:highlight w:val="none"/>
          <w:lang w:val="en-US" w:eastAsia="zh-CN"/>
        </w:rPr>
      </w:pPr>
      <w:bookmarkStart w:id="54" w:name="_Toc25693"/>
      <w:r>
        <w:rPr>
          <w:rFonts w:ascii="宋体" w:eastAsia="宋体" w:hAnsi="宋体" w:cs="宋体" w:hint="eastAsia"/>
          <w:sz w:val="28"/>
          <w:szCs w:val="28"/>
          <w:highlight w:val="none"/>
        </w:rPr>
        <w:t>四、</w:t>
      </w:r>
      <w:bookmarkEnd w:id="52"/>
      <w:bookmarkEnd w:id="53"/>
      <w:r>
        <w:rPr>
          <w:rFonts w:ascii="宋体" w:eastAsia="宋体" w:hAnsi="宋体" w:cs="宋体" w:hint="eastAsia"/>
          <w:sz w:val="28"/>
          <w:szCs w:val="28"/>
          <w:highlight w:val="none"/>
          <w:lang w:val="en-US" w:eastAsia="zh-CN"/>
        </w:rPr>
        <w:t>海域部分的通信站点数量和覆盖范围，覆盖率要对标附近沿海城市</w:t>
      </w:r>
      <w:bookmarkEnd w:id="54"/>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（1）4G网络情况</w:t>
      </w:r>
    </w:p>
    <w:p>
      <w:pPr>
        <w:widowControl/>
        <w:spacing w:line="420" w:lineRule="auto"/>
        <w:ind w:firstLine="480"/>
        <w:rPr>
          <w:rFonts w:ascii="宋体" w:eastAsia="宋体" w:hAnsi="宋体" w:cs="宋体" w:hint="eastAsia"/>
          <w:sz w:val="24"/>
          <w:szCs w:val="24"/>
          <w:highlight w:val="none"/>
          <w:lang w:eastAsia="zh-CN"/>
        </w:rPr>
      </w:pPr>
      <w:r>
        <w:rPr>
          <w:rFonts w:ascii="宋体" w:eastAsia="宋体" w:hAnsi="宋体" w:cs="宋体" w:hint="eastAsia"/>
          <w:sz w:val="24"/>
          <w:szCs w:val="24"/>
          <w:highlight w:val="none"/>
          <w:lang w:val="en-US" w:eastAsia="zh-CN"/>
        </w:rPr>
        <w:t>广西</w:t>
      </w:r>
      <w:r>
        <w:rPr>
          <w:rFonts w:ascii="宋体" w:eastAsia="宋体" w:hAnsi="宋体" w:cs="宋体" w:hint="eastAsia"/>
          <w:sz w:val="24"/>
          <w:szCs w:val="24"/>
          <w:highlight w:val="none"/>
          <w:lang w:eastAsia="zh-CN"/>
        </w:rPr>
        <w:t>北部湾海域已建</w:t>
      </w:r>
      <w:r>
        <w:rPr>
          <w:rFonts w:ascii="宋体" w:eastAsia="宋体" w:hAnsi="宋体" w:cs="宋体" w:hint="eastAsia"/>
          <w:sz w:val="24"/>
          <w:szCs w:val="24"/>
          <w:highlight w:val="none"/>
        </w:rPr>
        <w:t>4G</w:t>
      </w:r>
      <w:r>
        <w:rPr>
          <w:rFonts w:ascii="宋体" w:eastAsia="宋体" w:hAnsi="宋体" w:cs="宋体" w:hint="eastAsia"/>
          <w:sz w:val="24"/>
          <w:szCs w:val="24"/>
          <w:highlight w:val="none"/>
          <w:lang w:val="en-US" w:eastAsia="zh-CN"/>
        </w:rPr>
        <w:t>基站276</w:t>
      </w:r>
      <w:r>
        <w:rPr>
          <w:rFonts w:ascii="宋体" w:eastAsia="宋体" w:hAnsi="宋体" w:cs="宋体" w:hint="eastAsia"/>
          <w:sz w:val="24"/>
          <w:szCs w:val="24"/>
          <w:highlight w:val="none"/>
        </w:rPr>
        <w:t>个，</w:t>
      </w:r>
      <w:r>
        <w:rPr>
          <w:rFonts w:ascii="宋体" w:eastAsia="宋体" w:hAnsi="宋体" w:cs="宋体" w:hint="eastAsia"/>
          <w:sz w:val="24"/>
          <w:szCs w:val="24"/>
          <w:highlight w:val="none"/>
          <w:lang w:eastAsia="zh-CN"/>
        </w:rPr>
        <w:t>其中</w:t>
      </w:r>
      <w:r>
        <w:rPr>
          <w:rFonts w:ascii="宋体" w:eastAsia="宋体" w:hAnsi="宋体" w:cs="宋体" w:hint="eastAsia"/>
          <w:sz w:val="24"/>
          <w:szCs w:val="24"/>
          <w:highlight w:val="none"/>
          <w:lang w:val="en-US" w:eastAsia="zh-CN"/>
        </w:rPr>
        <w:t>沿海站点168个，</w:t>
      </w:r>
      <w:r>
        <w:rPr>
          <w:rFonts w:ascii="宋体" w:eastAsia="宋体" w:hAnsi="宋体" w:cs="宋体" w:hint="eastAsia"/>
          <w:sz w:val="24"/>
          <w:szCs w:val="24"/>
          <w:highlight w:val="none"/>
        </w:rPr>
        <w:t>近海</w:t>
      </w:r>
      <w:r>
        <w:rPr>
          <w:rFonts w:ascii="宋体" w:eastAsia="宋体" w:hAnsi="宋体" w:cs="宋体" w:hint="eastAsia"/>
          <w:sz w:val="24"/>
          <w:szCs w:val="24"/>
          <w:highlight w:val="none"/>
          <w:lang w:val="en-US" w:eastAsia="zh-CN"/>
        </w:rPr>
        <w:t>基站100</w:t>
      </w:r>
      <w:r>
        <w:rPr>
          <w:rFonts w:ascii="宋体" w:eastAsia="宋体" w:hAnsi="宋体" w:cs="宋体" w:hint="eastAsia"/>
          <w:sz w:val="24"/>
          <w:szCs w:val="24"/>
          <w:highlight w:val="none"/>
        </w:rPr>
        <w:t>个，远海</w:t>
      </w:r>
      <w:r>
        <w:rPr>
          <w:rFonts w:ascii="宋体" w:eastAsia="宋体" w:hAnsi="宋体" w:cs="宋体" w:hint="eastAsia"/>
          <w:sz w:val="24"/>
          <w:szCs w:val="24"/>
          <w:highlight w:val="none"/>
          <w:lang w:val="en-US" w:eastAsia="zh-CN"/>
        </w:rPr>
        <w:t>基站8</w:t>
      </w:r>
      <w:r>
        <w:rPr>
          <w:rFonts w:ascii="宋体" w:eastAsia="宋体" w:hAnsi="宋体" w:cs="宋体" w:hint="eastAsia"/>
          <w:sz w:val="24"/>
          <w:szCs w:val="24"/>
          <w:highlight w:val="none"/>
        </w:rPr>
        <w:t>个</w:t>
      </w:r>
      <w:r>
        <w:rPr>
          <w:rFonts w:ascii="宋体" w:eastAsia="宋体" w:hAnsi="宋体" w:cs="宋体" w:hint="eastAsia"/>
          <w:sz w:val="24"/>
          <w:szCs w:val="24"/>
          <w:highlight w:val="none"/>
          <w:lang w:eastAsia="zh-CN"/>
        </w:rPr>
        <w:t>（沿海：10公里范围、</w:t>
      </w:r>
      <w:r>
        <w:rPr>
          <w:rFonts w:ascii="宋体" w:eastAsia="宋体" w:hAnsi="宋体" w:cs="宋体" w:hint="eastAsia"/>
          <w:sz w:val="24"/>
          <w:szCs w:val="24"/>
          <w:highlight w:val="none"/>
          <w:lang w:val="en-US" w:eastAsia="zh-CN"/>
        </w:rPr>
        <w:t>近海：30公里范围、远海：50公里范围</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w:t>
      </w:r>
      <w:r>
        <w:rPr>
          <w:rFonts w:ascii="宋体" w:eastAsia="宋体" w:hAnsi="宋体" w:cs="宋体" w:hint="eastAsia"/>
          <w:sz w:val="24"/>
          <w:szCs w:val="24"/>
          <w:highlight w:val="none"/>
          <w:lang w:eastAsia="zh-CN"/>
        </w:rPr>
        <w:t>从拉网测试来看，</w:t>
      </w:r>
      <w:r>
        <w:rPr>
          <w:rFonts w:ascii="宋体" w:eastAsia="宋体" w:hAnsi="宋体" w:cs="宋体" w:hint="eastAsia"/>
          <w:sz w:val="24"/>
          <w:szCs w:val="24"/>
          <w:highlight w:val="none"/>
        </w:rPr>
        <w:t>北部湾沿海0-10KM已基本实现4G连续覆盖</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10KM以内网络覆盖较好，超30公里信号变弱</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lang w:val="en-US" w:eastAsia="zh-CN"/>
        </w:rPr>
        <w:t>整体来看，在北部湾沿海30公里范围内4G覆盖率：北海100%、钦州100%、防城港100%。</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（2）5G网络情况</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eastAsia="zh-CN"/>
        </w:rPr>
        <w:t>广西北部湾海域</w:t>
      </w:r>
      <w:r>
        <w:rPr>
          <w:rFonts w:ascii="宋体" w:eastAsia="宋体" w:hAnsi="宋体" w:cs="宋体" w:hint="eastAsia"/>
          <w:sz w:val="24"/>
          <w:szCs w:val="24"/>
          <w:highlight w:val="none"/>
          <w:lang w:val="en-US" w:eastAsia="zh-CN"/>
        </w:rPr>
        <w:t>已建5G基站322个，其中700M站点143个，2.6G站点179个，形成700M和2.6G双层立体组网。同时，主要通过以下5G创新技术的应用增强覆盖：</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700M双拼技术</w:t>
      </w:r>
    </w:p>
    <w:p>
      <w:pPr>
        <w:widowControl/>
        <w:spacing w:line="420" w:lineRule="auto"/>
        <w:ind w:firstLine="480"/>
        <w:rPr>
          <w:rFonts w:ascii="宋体" w:eastAsia="宋体" w:hAnsi="宋体" w:cs="宋体" w:hint="default"/>
          <w:sz w:val="24"/>
          <w:szCs w:val="24"/>
          <w:highlight w:val="none"/>
          <w:lang w:val="en-US" w:eastAsia="zh-CN"/>
        </w:rPr>
      </w:pPr>
      <w:r>
        <w:rPr>
          <w:rFonts w:ascii="宋体" w:eastAsia="宋体" w:hAnsi="宋体" w:cs="宋体" w:hint="eastAsia"/>
          <w:sz w:val="24"/>
          <w:szCs w:val="24"/>
          <w:highlight w:val="none"/>
          <w:lang w:val="en-US" w:eastAsia="zh-CN"/>
        </w:rPr>
        <w:t>采用2个4端口天线与2个</w:t>
      </w:r>
      <w:r>
        <w:rPr>
          <w:rFonts w:ascii="宋体" w:eastAsia="宋体" w:hAnsi="宋体" w:cs="宋体" w:hint="default"/>
          <w:sz w:val="24"/>
          <w:szCs w:val="24"/>
          <w:highlight w:val="none"/>
          <w:lang w:val="en-US" w:eastAsia="zh-CN"/>
        </w:rPr>
        <w:t>4T4R RRU</w:t>
      </w:r>
      <w:r>
        <w:rPr>
          <w:rFonts w:ascii="宋体" w:eastAsia="宋体" w:hAnsi="宋体" w:cs="宋体" w:hint="eastAsia"/>
          <w:sz w:val="24"/>
          <w:szCs w:val="24"/>
          <w:highlight w:val="none"/>
          <w:lang w:val="en-US" w:eastAsia="zh-CN"/>
        </w:rPr>
        <w:t>双拼，通过增加接收天线的通道数，获得上行的接收分集增益，从而提升上行接收性能。通过将2个</w:t>
      </w:r>
      <w:r>
        <w:rPr>
          <w:rFonts w:ascii="宋体" w:eastAsia="宋体" w:hAnsi="宋体" w:cs="宋体" w:hint="default"/>
          <w:sz w:val="24"/>
          <w:szCs w:val="24"/>
          <w:highlight w:val="none"/>
          <w:lang w:val="en-US" w:eastAsia="zh-CN"/>
        </w:rPr>
        <w:t>4</w:t>
      </w:r>
      <w:r>
        <w:rPr>
          <w:rFonts w:ascii="宋体" w:eastAsia="宋体" w:hAnsi="宋体" w:cs="宋体" w:hint="eastAsia"/>
          <w:sz w:val="24"/>
          <w:szCs w:val="24"/>
          <w:highlight w:val="none"/>
          <w:lang w:val="en-US" w:eastAsia="zh-CN"/>
        </w:rPr>
        <w:t>端口天线与2个</w:t>
      </w:r>
      <w:r>
        <w:rPr>
          <w:rFonts w:ascii="宋体" w:eastAsia="宋体" w:hAnsi="宋体" w:cs="宋体" w:hint="default"/>
          <w:sz w:val="24"/>
          <w:szCs w:val="24"/>
          <w:highlight w:val="none"/>
          <w:lang w:val="en-US" w:eastAsia="zh-CN"/>
        </w:rPr>
        <w:t>4T4R RRU</w:t>
      </w:r>
      <w:r>
        <w:rPr>
          <w:rFonts w:ascii="宋体" w:eastAsia="宋体" w:hAnsi="宋体" w:cs="宋体" w:hint="eastAsia"/>
          <w:sz w:val="24"/>
          <w:szCs w:val="24"/>
          <w:highlight w:val="none"/>
          <w:lang w:val="en-US" w:eastAsia="zh-CN"/>
        </w:rPr>
        <w:t>双拼的方式使得接收通道数由原来的</w:t>
      </w:r>
      <w:r>
        <w:rPr>
          <w:rFonts w:ascii="宋体" w:eastAsia="宋体" w:hAnsi="宋体" w:cs="宋体" w:hint="default"/>
          <w:sz w:val="24"/>
          <w:szCs w:val="24"/>
          <w:highlight w:val="none"/>
          <w:lang w:val="en-US" w:eastAsia="zh-CN"/>
        </w:rPr>
        <w:t>4R</w:t>
      </w:r>
      <w:r>
        <w:rPr>
          <w:rFonts w:ascii="宋体" w:eastAsia="宋体" w:hAnsi="宋体" w:cs="宋体" w:hint="eastAsia"/>
          <w:sz w:val="24"/>
          <w:szCs w:val="24"/>
          <w:highlight w:val="none"/>
          <w:lang w:val="en-US" w:eastAsia="zh-CN"/>
        </w:rPr>
        <w:t>提升到</w:t>
      </w:r>
      <w:r>
        <w:rPr>
          <w:rFonts w:ascii="宋体" w:eastAsia="宋体" w:hAnsi="宋体" w:cs="宋体" w:hint="default"/>
          <w:sz w:val="24"/>
          <w:szCs w:val="24"/>
          <w:highlight w:val="none"/>
          <w:lang w:val="en-US" w:eastAsia="zh-CN"/>
        </w:rPr>
        <w:t>8R</w:t>
      </w:r>
      <w:r>
        <w:rPr>
          <w:rFonts w:ascii="宋体" w:eastAsia="宋体" w:hAnsi="宋体" w:cs="宋体" w:hint="eastAsia"/>
          <w:sz w:val="24"/>
          <w:szCs w:val="24"/>
          <w:highlight w:val="none"/>
          <w:lang w:val="en-US" w:eastAsia="zh-CN"/>
        </w:rPr>
        <w:t>，利用接收通道数的增加获取上行接收分集增益，使得上行接收性能相较于</w:t>
      </w:r>
      <w:r>
        <w:rPr>
          <w:rFonts w:ascii="宋体" w:eastAsia="宋体" w:hAnsi="宋体" w:cs="宋体" w:hint="default"/>
          <w:sz w:val="24"/>
          <w:szCs w:val="24"/>
          <w:highlight w:val="none"/>
          <w:lang w:val="en-US" w:eastAsia="zh-CN"/>
        </w:rPr>
        <w:t>4R</w:t>
      </w:r>
      <w:r>
        <w:rPr>
          <w:rFonts w:ascii="宋体" w:eastAsia="宋体" w:hAnsi="宋体" w:cs="宋体" w:hint="eastAsia"/>
          <w:sz w:val="24"/>
          <w:szCs w:val="24"/>
          <w:highlight w:val="none"/>
          <w:lang w:val="en-US" w:eastAsia="zh-CN"/>
        </w:rPr>
        <w:t>提升</w:t>
      </w:r>
      <w:r>
        <w:rPr>
          <w:rFonts w:ascii="宋体" w:eastAsia="宋体" w:hAnsi="宋体" w:cs="宋体" w:hint="default"/>
          <w:sz w:val="24"/>
          <w:szCs w:val="24"/>
          <w:highlight w:val="none"/>
          <w:lang w:val="en-US" w:eastAsia="zh-CN"/>
        </w:rPr>
        <w:t>2~3dB</w:t>
      </w:r>
      <w:r>
        <w:rPr>
          <w:rFonts w:ascii="宋体" w:eastAsia="宋体" w:hAnsi="宋体" w:cs="宋体" w:hint="eastAsia"/>
          <w:sz w:val="24"/>
          <w:szCs w:val="24"/>
          <w:highlight w:val="none"/>
          <w:lang w:val="en-US" w:eastAsia="zh-CN"/>
        </w:rPr>
        <w:t>。总体实现</w:t>
      </w:r>
      <w:r>
        <w:rPr>
          <w:rFonts w:ascii="宋体" w:eastAsia="宋体" w:hAnsi="宋体" w:cs="宋体" w:hint="default"/>
          <w:sz w:val="24"/>
          <w:szCs w:val="24"/>
          <w:highlight w:val="none"/>
          <w:lang w:val="en-US" w:eastAsia="zh-CN"/>
        </w:rPr>
        <w:t>4T8R</w:t>
      </w:r>
      <w:r>
        <w:rPr>
          <w:rFonts w:ascii="宋体" w:eastAsia="宋体" w:hAnsi="宋体" w:cs="宋体" w:hint="eastAsia"/>
          <w:sz w:val="24"/>
          <w:szCs w:val="24"/>
          <w:highlight w:val="none"/>
          <w:lang w:val="en-US" w:eastAsia="zh-CN"/>
        </w:rPr>
        <w:t>效果，有效提升上行接收性能。</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全新5G基站-MetaAAU</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通过新材料和新架构创新等新技术，实现阵列规模翻倍，覆盖增益翻倍。一是引入自适应高分辨波束赋形算法，让MetaAAU业务信道波束更精准地指向用户；二是自适应波束寻优，智能适配用户无线信道变化，提升空口资源利用效率；三是高分辨波束域降噪，提升多用户配对效率。四是扩幅面加阵子与智能算法让覆盖体验双提升，不增加能耗，用户体验千兆速率。</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多频段智选调度</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SUL+载波智选，SUL上行增强与TDD中频段协同建网驻留更深、体验更优、峰值速率更高；载波智选，根据业务特征进行载波选择，频谱效率最大化。</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轮船基站CPE回传方案</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一是通过RACH优化，特殊子帧GAP使能2.6G超远覆盖，根据不同场景优化SSB波束，控制干扰提升覆盖，达到海域超远覆盖。二是通过业务识别，保障OM管理与信令优先的调度，有信号则基站保持连接，保障链接高稳定性。</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近期联合华为公司对5G海域“面、点、线”进行现网测试和仿真评估：</w:t>
      </w:r>
    </w:p>
    <w:p>
      <w:pPr>
        <w:widowControl/>
        <w:spacing w:line="420" w:lineRule="auto"/>
        <w:ind w:firstLine="480"/>
        <w:rPr>
          <w:rFonts w:ascii="宋体" w:eastAsia="宋体" w:hAnsi="宋体" w:cs="宋体" w:hint="eastAsia"/>
          <w:sz w:val="24"/>
          <w:szCs w:val="24"/>
          <w:highlight w:val="none"/>
          <w:lang w:eastAsia="zh-CN"/>
        </w:rPr>
      </w:pPr>
      <w:r>
        <w:rPr>
          <w:rFonts w:ascii="宋体" w:eastAsia="宋体" w:hAnsi="宋体" w:cs="宋体" w:hint="eastAsia"/>
          <w:sz w:val="24"/>
          <w:szCs w:val="24"/>
          <w:highlight w:val="none"/>
          <w:lang w:val="en-US" w:eastAsia="zh-CN"/>
        </w:rPr>
        <w:t>1）海岸线700M+2.6G面上覆盖远海覆盖稍弱，考虑</w:t>
      </w:r>
      <w:r>
        <w:rPr>
          <w:rFonts w:ascii="宋体" w:eastAsia="宋体" w:hAnsi="宋体" w:cs="宋体" w:hint="eastAsia"/>
          <w:sz w:val="24"/>
          <w:szCs w:val="24"/>
          <w:highlight w:val="none"/>
        </w:rPr>
        <w:t>船舱内</w:t>
      </w:r>
      <w:r>
        <w:rPr>
          <w:rFonts w:ascii="宋体" w:eastAsia="宋体" w:hAnsi="宋体" w:cs="宋体" w:hint="eastAsia"/>
          <w:sz w:val="24"/>
          <w:szCs w:val="24"/>
          <w:highlight w:val="none"/>
          <w:lang w:eastAsia="zh-CN"/>
        </w:rPr>
        <w:t>覆盖，信号强度及上行速率相对较弱。</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2）钻井平台700M+2.6G点上</w:t>
      </w:r>
      <w:r>
        <w:rPr>
          <w:rFonts w:ascii="宋体" w:eastAsia="宋体" w:hAnsi="宋体" w:cs="宋体" w:hint="eastAsia"/>
          <w:sz w:val="24"/>
          <w:szCs w:val="24"/>
          <w:highlight w:val="none"/>
        </w:rPr>
        <w:t>有效</w:t>
      </w:r>
      <w:r>
        <w:rPr>
          <w:rFonts w:ascii="宋体" w:eastAsia="宋体" w:hAnsi="宋体" w:cs="宋体" w:hint="eastAsia"/>
          <w:sz w:val="24"/>
          <w:szCs w:val="24"/>
          <w:highlight w:val="none"/>
          <w:lang w:eastAsia="zh-CN"/>
        </w:rPr>
        <w:t>覆盖</w:t>
      </w:r>
      <w:r>
        <w:rPr>
          <w:rFonts w:ascii="宋体" w:eastAsia="宋体" w:hAnsi="宋体" w:cs="宋体" w:hint="eastAsia"/>
          <w:sz w:val="24"/>
          <w:szCs w:val="24"/>
          <w:highlight w:val="none"/>
        </w:rPr>
        <w:t>距离约25km</w:t>
      </w:r>
      <w:r>
        <w:rPr>
          <w:rFonts w:ascii="宋体" w:eastAsia="宋体" w:hAnsi="宋体" w:cs="宋体" w:hint="eastAsia"/>
          <w:sz w:val="24"/>
          <w:szCs w:val="24"/>
          <w:highlight w:val="none"/>
          <w:lang w:eastAsia="zh-CN"/>
        </w:rPr>
        <w:t>（</w:t>
      </w:r>
      <w:r>
        <w:rPr>
          <w:rFonts w:ascii="宋体" w:eastAsia="宋体" w:hAnsi="宋体" w:cs="宋体" w:hint="eastAsia"/>
          <w:sz w:val="24"/>
          <w:szCs w:val="24"/>
          <w:highlight w:val="none"/>
        </w:rPr>
        <w:t>电平-115dBm</w:t>
      </w:r>
      <w:r>
        <w:rPr>
          <w:rFonts w:ascii="宋体" w:eastAsia="宋体" w:hAnsi="宋体" w:cs="宋体" w:hint="eastAsia"/>
          <w:sz w:val="24"/>
          <w:szCs w:val="24"/>
          <w:highlight w:val="none"/>
          <w:lang w:eastAsia="zh-CN"/>
        </w:rPr>
        <w:t>），覆盖已</w:t>
      </w:r>
      <w:r>
        <w:rPr>
          <w:rFonts w:ascii="宋体" w:eastAsia="宋体" w:hAnsi="宋体" w:cs="宋体" w:hint="eastAsia"/>
          <w:sz w:val="24"/>
          <w:szCs w:val="24"/>
          <w:highlight w:val="none"/>
          <w:lang w:val="en-US" w:eastAsia="zh-CN"/>
        </w:rPr>
        <w:t>达预期目标。</w:t>
      </w:r>
    </w:p>
    <w:p>
      <w:pPr>
        <w:widowControl/>
        <w:spacing w:line="420" w:lineRule="auto"/>
        <w:ind w:firstLine="480"/>
        <w:rPr>
          <w:rFonts w:ascii="宋体" w:eastAsia="宋体" w:hAnsi="宋体" w:cs="宋体" w:hint="eastAsia"/>
          <w:sz w:val="24"/>
          <w:szCs w:val="24"/>
          <w:highlight w:val="none"/>
          <w:lang w:eastAsia="zh-CN"/>
        </w:rPr>
      </w:pPr>
      <w:r>
        <w:rPr>
          <w:rFonts w:ascii="宋体" w:eastAsia="宋体" w:hAnsi="宋体" w:cs="宋体" w:hint="eastAsia"/>
          <w:sz w:val="24"/>
          <w:szCs w:val="24"/>
          <w:highlight w:val="none"/>
          <w:lang w:val="en-US" w:eastAsia="zh-CN"/>
        </w:rPr>
        <w:t>3）</w:t>
      </w:r>
      <w:r>
        <w:rPr>
          <w:rFonts w:ascii="宋体" w:eastAsia="宋体" w:hAnsi="宋体" w:cs="宋体" w:hint="eastAsia"/>
          <w:sz w:val="24"/>
          <w:szCs w:val="24"/>
          <w:highlight w:val="none"/>
          <w:lang w:eastAsia="zh-CN"/>
        </w:rPr>
        <w:t>北海-海口现网航线上95%区域</w:t>
      </w:r>
      <w:r>
        <w:rPr>
          <w:rFonts w:ascii="宋体" w:eastAsia="宋体" w:hAnsi="宋体" w:cs="宋体" w:hint="eastAsia"/>
          <w:sz w:val="24"/>
          <w:szCs w:val="24"/>
          <w:highlight w:val="none"/>
          <w:lang w:val="en-US" w:eastAsia="zh-CN"/>
        </w:rPr>
        <w:t>已覆盖</w:t>
      </w:r>
      <w:r>
        <w:rPr>
          <w:rFonts w:ascii="宋体" w:eastAsia="宋体" w:hAnsi="宋体" w:cs="宋体" w:hint="eastAsia"/>
          <w:sz w:val="24"/>
          <w:szCs w:val="24"/>
          <w:highlight w:val="none"/>
          <w:lang w:eastAsia="zh-CN"/>
        </w:rPr>
        <w:t>，85%</w:t>
      </w:r>
      <w:r>
        <w:rPr>
          <w:rFonts w:ascii="宋体" w:eastAsia="宋体" w:hAnsi="宋体" w:cs="宋体" w:hint="eastAsia"/>
          <w:sz w:val="24"/>
          <w:szCs w:val="24"/>
          <w:highlight w:val="none"/>
          <w:lang w:val="en-US" w:eastAsia="zh-CN"/>
        </w:rPr>
        <w:t>以上区域速率达标</w:t>
      </w:r>
      <w:r>
        <w:rPr>
          <w:rFonts w:ascii="宋体" w:eastAsia="宋体" w:hAnsi="宋体" w:cs="宋体" w:hint="eastAsia"/>
          <w:sz w:val="24"/>
          <w:szCs w:val="24"/>
          <w:highlight w:val="none"/>
          <w:lang w:eastAsia="zh-CN"/>
        </w:rPr>
        <w:t>，整体满足远海标准呼得着标准（</w:t>
      </w:r>
      <w:r>
        <w:rPr>
          <w:rFonts w:ascii="宋体" w:eastAsia="宋体" w:hAnsi="宋体" w:cs="宋体" w:hint="eastAsia"/>
          <w:sz w:val="24"/>
          <w:szCs w:val="24"/>
          <w:highlight w:val="none"/>
          <w:lang w:val="en-US" w:eastAsia="zh-CN"/>
        </w:rPr>
        <w:t>RSRP&gt;-115dBm，上下行速率达到1Mbps以上</w:t>
      </w:r>
      <w:r>
        <w:rPr>
          <w:rFonts w:ascii="宋体" w:eastAsia="宋体" w:hAnsi="宋体" w:cs="宋体" w:hint="eastAsia"/>
          <w:sz w:val="24"/>
          <w:szCs w:val="24"/>
          <w:highlight w:val="none"/>
          <w:lang w:eastAsia="zh-CN"/>
        </w:rPr>
        <w:t>），考虑</w:t>
      </w:r>
      <w:r>
        <w:rPr>
          <w:rFonts w:ascii="宋体" w:eastAsia="宋体" w:hAnsi="宋体" w:cs="宋体" w:hint="eastAsia"/>
          <w:sz w:val="24"/>
          <w:szCs w:val="24"/>
          <w:highlight w:val="none"/>
        </w:rPr>
        <w:t>船舱内</w:t>
      </w:r>
      <w:r>
        <w:rPr>
          <w:rFonts w:ascii="宋体" w:eastAsia="宋体" w:hAnsi="宋体" w:cs="宋体" w:hint="eastAsia"/>
          <w:sz w:val="24"/>
          <w:szCs w:val="24"/>
          <w:highlight w:val="none"/>
          <w:lang w:eastAsia="zh-CN"/>
        </w:rPr>
        <w:t>覆盖</w:t>
      </w:r>
      <w:r>
        <w:rPr>
          <w:rFonts w:ascii="宋体" w:eastAsia="宋体" w:hAnsi="宋体" w:cs="宋体" w:hint="eastAsia"/>
          <w:sz w:val="24"/>
          <w:szCs w:val="24"/>
          <w:highlight w:val="none"/>
        </w:rPr>
        <w:t>，航线上70%区域</w:t>
      </w:r>
      <w:r>
        <w:rPr>
          <w:rFonts w:ascii="宋体" w:eastAsia="宋体" w:hAnsi="宋体" w:cs="宋体" w:hint="eastAsia"/>
          <w:sz w:val="24"/>
          <w:szCs w:val="24"/>
          <w:highlight w:val="none"/>
          <w:lang w:val="en-US" w:eastAsia="zh-CN"/>
        </w:rPr>
        <w:t>已覆盖</w:t>
      </w:r>
      <w:r>
        <w:rPr>
          <w:rFonts w:ascii="宋体" w:eastAsia="宋体" w:hAnsi="宋体" w:cs="宋体" w:hint="eastAsia"/>
          <w:sz w:val="24"/>
          <w:szCs w:val="24"/>
          <w:highlight w:val="none"/>
        </w:rPr>
        <w:t>，50%</w:t>
      </w:r>
      <w:r>
        <w:rPr>
          <w:rFonts w:ascii="宋体" w:eastAsia="宋体" w:hAnsi="宋体" w:cs="宋体" w:hint="eastAsia"/>
          <w:sz w:val="24"/>
          <w:szCs w:val="24"/>
          <w:highlight w:val="none"/>
          <w:lang w:val="en-US" w:eastAsia="zh-CN"/>
        </w:rPr>
        <w:t>以上区域速率达标</w:t>
      </w:r>
      <w:r>
        <w:rPr>
          <w:rFonts w:ascii="宋体" w:eastAsia="宋体" w:hAnsi="宋体" w:cs="宋体" w:hint="eastAsia"/>
          <w:sz w:val="24"/>
          <w:szCs w:val="24"/>
          <w:highlight w:val="none"/>
        </w:rPr>
        <w:t>，</w:t>
      </w:r>
      <w:r>
        <w:rPr>
          <w:rFonts w:ascii="宋体" w:eastAsia="宋体" w:hAnsi="宋体" w:cs="宋体" w:hint="eastAsia"/>
          <w:sz w:val="24"/>
          <w:szCs w:val="24"/>
          <w:highlight w:val="none"/>
          <w:lang w:val="en-US" w:eastAsia="zh-CN"/>
        </w:rPr>
        <w:t>因信号</w:t>
      </w:r>
      <w:r>
        <w:rPr>
          <w:rFonts w:ascii="宋体" w:eastAsia="宋体" w:hAnsi="宋体" w:cs="宋体" w:hint="eastAsia"/>
          <w:sz w:val="24"/>
          <w:szCs w:val="24"/>
          <w:highlight w:val="none"/>
        </w:rPr>
        <w:t>穿损</w:t>
      </w:r>
      <w:r>
        <w:rPr>
          <w:rFonts w:ascii="宋体" w:eastAsia="宋体" w:hAnsi="宋体" w:cs="宋体" w:hint="eastAsia"/>
          <w:sz w:val="24"/>
          <w:szCs w:val="24"/>
          <w:highlight w:val="none"/>
          <w:lang w:val="en-US" w:eastAsia="zh-CN"/>
        </w:rPr>
        <w:t>问题</w:t>
      </w:r>
      <w:r>
        <w:rPr>
          <w:rFonts w:ascii="宋体" w:eastAsia="宋体" w:hAnsi="宋体" w:cs="宋体" w:hint="eastAsia"/>
          <w:sz w:val="24"/>
          <w:szCs w:val="24"/>
          <w:highlight w:val="none"/>
        </w:rPr>
        <w:t>，覆盖及速率</w:t>
      </w:r>
      <w:r>
        <w:rPr>
          <w:rFonts w:ascii="宋体" w:eastAsia="宋体" w:hAnsi="宋体" w:cs="宋体" w:hint="eastAsia"/>
          <w:sz w:val="24"/>
          <w:szCs w:val="24"/>
          <w:highlight w:val="none"/>
          <w:lang w:eastAsia="zh-CN"/>
        </w:rPr>
        <w:t>仍显不足。</w:t>
      </w:r>
    </w:p>
    <w:p>
      <w:pPr>
        <w:widowControl/>
        <w:spacing w:line="420" w:lineRule="auto"/>
        <w:ind w:firstLine="480"/>
        <w:rPr>
          <w:rFonts w:ascii="宋体" w:eastAsia="宋体" w:hAnsi="宋体" w:cs="宋体" w:hint="eastAsia"/>
          <w:sz w:val="24"/>
          <w:szCs w:val="24"/>
          <w:highlight w:val="none"/>
          <w:lang w:val="en-US" w:eastAsia="zh-CN"/>
        </w:rPr>
      </w:pPr>
      <w:r>
        <w:rPr>
          <w:rFonts w:ascii="宋体" w:eastAsia="宋体" w:hAnsi="宋体" w:cs="宋体" w:hint="eastAsia"/>
          <w:sz w:val="24"/>
          <w:szCs w:val="24"/>
          <w:highlight w:val="none"/>
          <w:lang w:val="en-US" w:eastAsia="zh-CN"/>
        </w:rPr>
        <w:t>整体来看，在北部湾沿海30公里范围内5G覆盖率：北海100%、钦州100%、防城港100%。从评估结果来看，覆盖速率方面以及远海区域仍需加点建设。为</w:t>
      </w:r>
      <w:r>
        <w:rPr>
          <w:rFonts w:ascii="宋体" w:eastAsia="宋体" w:hAnsi="宋体" w:cs="宋体" w:hint="eastAsia"/>
          <w:sz w:val="24"/>
          <w:szCs w:val="24"/>
          <w:highlight w:val="none"/>
        </w:rPr>
        <w:t>提升现网5G精品网</w:t>
      </w:r>
      <w:r>
        <w:rPr>
          <w:rFonts w:ascii="宋体" w:eastAsia="宋体" w:hAnsi="宋体" w:cs="宋体" w:hint="eastAsia"/>
          <w:sz w:val="24"/>
          <w:szCs w:val="24"/>
          <w:highlight w:val="none"/>
          <w:lang w:val="en-US" w:eastAsia="zh-CN"/>
        </w:rPr>
        <w:t>质量，建议进一步完善北部湾海域网络覆盖，结合ToC、ToB市场应用推动加快发展向海经济，进一步充分发挥“海”的优势、释放“海”的潜力。</w:t>
      </w:r>
    </w:p>
    <w:p>
      <w:pPr>
        <w:pStyle w:val="Heading3"/>
        <w:spacing w:line="348" w:lineRule="auto"/>
        <w:ind w:firstLine="420" w:firstLineChars="200"/>
        <w:rPr>
          <w:rFonts w:ascii="宋体" w:eastAsia="宋体" w:hAnsi="宋体" w:cs="宋体"/>
          <w:sz w:val="28"/>
          <w:szCs w:val="28"/>
          <w:highlight w:val="none"/>
        </w:rPr>
      </w:pPr>
      <w:bookmarkStart w:id="55" w:name="_Toc18161"/>
      <w:bookmarkStart w:id="56" w:name="_Toc147849158"/>
      <w:r>
        <w:rPr>
          <w:rFonts w:ascii="宋体" w:eastAsia="宋体" w:hAnsi="宋体" w:cs="宋体" w:hint="eastAsia"/>
          <w:sz w:val="28"/>
          <w:szCs w:val="28"/>
          <w:highlight w:val="none"/>
        </w:rPr>
        <w:t>五、5G相关应用案例</w:t>
      </w:r>
      <w:bookmarkEnd w:id="55"/>
      <w:bookmarkEnd w:id="56"/>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（一）智慧医疗</w:t>
      </w:r>
    </w:p>
    <w:p>
      <w:pPr>
        <w:widowControl/>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智慧医疗英文简称WIT120，通过打造健康档案区域医疗信息平台，利用最先进的物联网技术，实现患者与医务人员、医疗机构、医疗设备之间的互动，逐步达到信息化。在国家政策、技术的共同驱动下，基于全民健康信息化和健康医疗大数据的个人智慧医疗体系正在形成，开始形成跨空间、跨部门的医疗数据融合应用雏形。</w:t>
      </w: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1、远程B超诊断案例分析：</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痛点：超声专家缺失，患者看病院、看病贵、看病难。</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方案：B超设备医生端部署在医院，患者端部署在基层医疗机构；医生通过远程超声系统采集超声影像进行诊断，医患通过实时音视频进行互动。</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价值：提升诊断效率，降低医疗成本，支撑医疗扶贫。老百姓在家门口的社区医院也能享受三甲医院超声医生的诊断，免除奔波烦恼，减少患者医疗费用支出。</w:t>
      </w: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2、远程手术案例分析：</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痛点：专业医生缺乏，以帕金森病为例，每年新增10万患者，但每年只能进行1000例手术，而且患者年龄较大，行动不便，不能长途跋涉到专业医院就诊。</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方案：医生通过远程桌面控制手术臂进行操作，各方通过视频同步回传进行远程会诊。</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价值：远程手术突破了传统诊疗方式的局限，降低患者就医成本、时间；未来远程医疗将有助于实现优质资源下沉，提升偏远地区医疗资源的可获得性，极大缓解了医疗资源分配不均的现状。</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组网与网络要求：5G作为网络支撑，医生端、患者端需要分别需要如图所示设备。</w:t>
      </w: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3、远程急救案例分析：</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痛点：专业急救人员缺乏，以某市为例，全市13个区县，急救车501辆，但专业急救医师仅252人，大部分出急诊急救人员能力有限，需要远程指导。</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方案：车辆实时位置、患者心电图、超声图像、血压、心率、氧饱和度、体温等数据实时同步到5G远程急救指挥中心确诊患者病症；中心医生通过实时音视频指导急救人员进行急救。</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价值：通过远程指导共享意识经验，为挽救生命及时救治争取时间，提升院前急救总体效能。</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组网与网络要求：基于5G的网络平台，急救中心及救护车端配置相应的设备。</w:t>
      </w:r>
    </w:p>
    <w:p>
      <w:pPr>
        <w:widowControl/>
        <w:shd w:val="clear" w:color="auto" w:fill="FFFFFF"/>
        <w:spacing w:line="348"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5G助力覆盖百所医疗机构的未来远程医疗系统：垂直覆盖省医院、市医院、县医院、乡镇卫生院、村卫生院，横向形成综合会诊中心、数据中心、协同平台、手术示教（试教）、远程教学（观摩）、远程门诊等系统。</w:t>
      </w:r>
    </w:p>
    <w:p>
      <w:pPr>
        <w:widowControl/>
        <w:shd w:val="clear" w:color="auto" w:fill="FFFFFF"/>
        <w:spacing w:line="348"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drawing>
          <wp:inline distT="0" distB="0" distL="0" distR="0">
            <wp:extent cx="5664200" cy="1867535"/>
            <wp:effectExtent l="0" t="0" r="12700" b="18415"/>
            <wp:docPr id="38" name="图片 38" descr="C:\Users\Administrator\AppData\Local\Microsoft\Windows\INetCache\Content.Word\B超.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strator\AppData\Local\Microsoft\Windows\INetCache\Content.Word\B超.jpeg"/>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a:xfrm>
                      <a:off x="0" y="0"/>
                      <a:ext cx="5664200" cy="1868108"/>
                    </a:xfrm>
                    <a:prstGeom prst="rect">
                      <a:avLst/>
                    </a:prstGeom>
                    <a:noFill/>
                    <a:ln>
                      <a:noFill/>
                    </a:ln>
                  </pic:spPr>
                </pic:pic>
              </a:graphicData>
            </a:graphic>
          </wp:inline>
        </w:drawing>
      </w:r>
    </w:p>
    <w:p>
      <w:pPr>
        <w:widowControl/>
        <w:shd w:val="clear" w:color="auto" w:fill="FFFFFF"/>
        <w:spacing w:line="348" w:lineRule="auto"/>
        <w:jc w:val="center"/>
        <w:rPr>
          <w:rFonts w:ascii="宋体" w:eastAsia="宋体" w:hAnsi="宋体" w:cs="宋体"/>
          <w:b/>
          <w:bCs/>
          <w:sz w:val="24"/>
          <w:szCs w:val="24"/>
          <w:highlight w:val="none"/>
        </w:rPr>
      </w:pPr>
      <w:r>
        <w:rPr>
          <w:rFonts w:ascii="宋体" w:eastAsia="宋体" w:hAnsi="宋体" w:cs="宋体" w:hint="eastAsia"/>
          <w:b/>
          <w:bCs/>
          <w:szCs w:val="21"/>
          <w:highlight w:val="none"/>
        </w:rPr>
        <w:t>图4-1  远程B超诊断案例分析图例</w:t>
      </w:r>
    </w:p>
    <w:p>
      <w:pPr>
        <w:widowControl/>
        <w:shd w:val="clear" w:color="auto" w:fill="FFFFFF"/>
        <w:spacing w:line="348" w:lineRule="auto"/>
        <w:ind w:firstLine="420" w:firstLineChars="200"/>
        <w:jc w:val="left"/>
        <w:rPr>
          <w:rFonts w:ascii="宋体" w:eastAsia="宋体" w:hAnsi="宋体" w:cs="宋体"/>
          <w:sz w:val="24"/>
          <w:szCs w:val="24"/>
          <w:highlight w:val="none"/>
        </w:rPr>
      </w:pPr>
    </w:p>
    <w:p>
      <w:pPr>
        <w:widowControl/>
        <w:shd w:val="clear" w:color="auto" w:fill="FFFFFF"/>
        <w:spacing w:line="348"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drawing>
          <wp:inline distT="0" distB="0" distL="0" distR="0">
            <wp:extent cx="5981700" cy="2463800"/>
            <wp:effectExtent l="0" t="0" r="0" b="12700"/>
            <wp:docPr id="39" name="图片 39" descr="C:\Users\Administrator\Desktop\手术.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strator\Desktop\手术.jpeg"/>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a:xfrm>
                      <a:off x="0" y="0"/>
                      <a:ext cx="5981700" cy="2463800"/>
                    </a:xfrm>
                    <a:prstGeom prst="rect">
                      <a:avLst/>
                    </a:prstGeom>
                    <a:noFill/>
                    <a:ln>
                      <a:noFill/>
                    </a:ln>
                  </pic:spPr>
                </pic:pic>
              </a:graphicData>
            </a:graphic>
          </wp:inline>
        </w:drawing>
      </w:r>
    </w:p>
    <w:p>
      <w:pPr>
        <w:widowControl/>
        <w:shd w:val="clear" w:color="auto" w:fill="FFFFFF"/>
        <w:spacing w:line="348" w:lineRule="auto"/>
        <w:jc w:val="center"/>
        <w:rPr>
          <w:rFonts w:ascii="宋体" w:eastAsia="宋体" w:hAnsi="宋体" w:cs="宋体"/>
          <w:b/>
          <w:bCs/>
          <w:szCs w:val="21"/>
          <w:highlight w:val="none"/>
        </w:rPr>
      </w:pPr>
      <w:r>
        <w:rPr>
          <w:rFonts w:ascii="宋体" w:eastAsia="宋体" w:hAnsi="宋体" w:cs="宋体" w:hint="eastAsia"/>
          <w:b/>
          <w:bCs/>
          <w:szCs w:val="21"/>
          <w:highlight w:val="none"/>
        </w:rPr>
        <w:t>图4-2  远程手术案例分析图例</w:t>
      </w:r>
    </w:p>
    <w:p>
      <w:pPr>
        <w:widowControl/>
        <w:shd w:val="clear" w:color="auto" w:fill="FFFFFF"/>
        <w:spacing w:line="348" w:lineRule="auto"/>
        <w:ind w:firstLine="420" w:firstLineChars="200"/>
        <w:jc w:val="left"/>
        <w:rPr>
          <w:rFonts w:ascii="宋体" w:eastAsia="宋体" w:hAnsi="宋体" w:cs="宋体"/>
          <w:sz w:val="24"/>
          <w:szCs w:val="24"/>
          <w:highlight w:val="none"/>
        </w:rPr>
      </w:pPr>
    </w:p>
    <w:p>
      <w:pPr>
        <w:widowControl/>
        <w:shd w:val="clear" w:color="auto" w:fill="FFFFFF"/>
        <w:spacing w:line="348"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drawing>
          <wp:inline distT="0" distB="0" distL="0" distR="0">
            <wp:extent cx="5981700" cy="1841500"/>
            <wp:effectExtent l="0" t="0" r="0" b="6350"/>
            <wp:docPr id="40" name="图片 40" descr="C:\Users\Administrator\Desktop\急救.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Desktop\急救.jpeg"/>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5981700" cy="1841500"/>
                    </a:xfrm>
                    <a:prstGeom prst="rect">
                      <a:avLst/>
                    </a:prstGeom>
                    <a:noFill/>
                    <a:ln>
                      <a:noFill/>
                    </a:ln>
                  </pic:spPr>
                </pic:pic>
              </a:graphicData>
            </a:graphic>
          </wp:inline>
        </w:drawing>
      </w:r>
    </w:p>
    <w:p>
      <w:pPr>
        <w:widowControl/>
        <w:shd w:val="clear" w:color="auto" w:fill="FFFFFF"/>
        <w:spacing w:before="156" w:beforeLines="50" w:after="156" w:afterLines="50" w:line="348" w:lineRule="auto"/>
        <w:jc w:val="center"/>
        <w:rPr>
          <w:rFonts w:ascii="宋体" w:eastAsia="宋体" w:hAnsi="宋体" w:cs="宋体"/>
          <w:b/>
          <w:bCs/>
          <w:szCs w:val="21"/>
          <w:highlight w:val="none"/>
        </w:rPr>
      </w:pPr>
      <w:r>
        <w:rPr>
          <w:rFonts w:ascii="宋体" w:eastAsia="宋体" w:hAnsi="宋体" w:cs="宋体" w:hint="eastAsia"/>
          <w:b/>
          <w:bCs/>
          <w:szCs w:val="21"/>
          <w:highlight w:val="none"/>
        </w:rPr>
        <w:t>图4-3 远程急救案例分析图例</w:t>
      </w:r>
    </w:p>
    <w:p>
      <w:pPr>
        <w:widowControl/>
        <w:shd w:val="clear" w:color="auto" w:fill="FFFFFF"/>
        <w:spacing w:line="348"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drawing>
          <wp:inline distT="0" distB="0" distL="0" distR="0">
            <wp:extent cx="5524500" cy="2275205"/>
            <wp:effectExtent l="0" t="0" r="0" b="10795"/>
            <wp:docPr id="41" name="图片 41" descr="C:\Users\Administrator\Desktop\5G助力.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strator\Desktop\5G助力.jpeg"/>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5524500" cy="2275484"/>
                    </a:xfrm>
                    <a:prstGeom prst="rect">
                      <a:avLst/>
                    </a:prstGeom>
                    <a:noFill/>
                    <a:ln>
                      <a:noFill/>
                    </a:ln>
                  </pic:spPr>
                </pic:pic>
              </a:graphicData>
            </a:graphic>
          </wp:inline>
        </w:drawing>
      </w:r>
    </w:p>
    <w:p>
      <w:pPr>
        <w:widowControl/>
        <w:shd w:val="clear" w:color="auto" w:fill="FFFFFF"/>
        <w:spacing w:before="156" w:beforeLines="50" w:line="348" w:lineRule="auto"/>
        <w:jc w:val="center"/>
        <w:rPr>
          <w:rFonts w:ascii="宋体" w:eastAsia="宋体" w:hAnsi="宋体" w:cs="宋体"/>
          <w:sz w:val="24"/>
          <w:szCs w:val="24"/>
          <w:highlight w:val="none"/>
        </w:rPr>
      </w:pPr>
      <w:r>
        <w:rPr>
          <w:rFonts w:ascii="宋体" w:eastAsia="宋体" w:hAnsi="宋体" w:cs="宋体" w:hint="eastAsia"/>
          <w:b/>
          <w:bCs/>
          <w:szCs w:val="21"/>
          <w:highlight w:val="none"/>
        </w:rPr>
        <w:t>图4-4  组网与网络要求图例</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（二）智慧交通</w:t>
      </w:r>
    </w:p>
    <w:p>
      <w:pPr>
        <w:widowControl/>
        <w:shd w:val="clear" w:color="auto" w:fill="FFFFFF"/>
        <w:spacing w:line="360" w:lineRule="auto"/>
        <w:ind w:firstLine="420" w:firstLineChars="200"/>
        <w:jc w:val="left"/>
        <w:rPr>
          <w:rFonts w:ascii="宋体" w:eastAsia="宋体" w:hAnsi="宋体" w:cs="宋体"/>
          <w:sz w:val="24"/>
          <w:szCs w:val="24"/>
          <w:highlight w:val="none"/>
        </w:rPr>
      </w:pPr>
      <w:bookmarkStart w:id="57" w:name="_Toc147849159"/>
      <w:r>
        <w:rPr>
          <w:rFonts w:ascii="宋体" w:eastAsia="宋体" w:hAnsi="宋体" w:cs="宋体" w:hint="eastAsia"/>
          <w:sz w:val="24"/>
          <w:szCs w:val="24"/>
          <w:highlight w:val="none"/>
        </w:rPr>
        <w:t>交通运输是国民经济的基础性、先导性、战略性产业和重要服务性行业。以5G和C-V2X为代表的车联网技术正渗透到交通运输行业中，促进行业变革和产业升级，实现智慧交通，满足人们对于安全出行，搞笑出行以及绿色出行的美好愿景。目前，车联网技术标准逐渐完善，产业链条趋于成熟，各地涌现出一批批车联网测试和示范基地，开始探索车联网的运营和商业模式。</w:t>
      </w:r>
      <w:bookmarkEnd w:id="57"/>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1、车联网与自动驾驶类</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5G车联网与自动驾驶，可以提高道路交通安全、行人安全和道路运行效率，减少尾气污染和交通拥堵；政府管理部门可提高交通、运输、道路和环保的管理能力；运输企业可降低运营成本、提高运输效率；帮助汽车用户提高能源使用效率、降低汽车使用成本，提升乘车体验和出行效率等。</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车联网与自动驾驶解决方案，利用 5G 网络，及车载摄像头、激光雷达、毫米波雷达、超声波雷达等车载传感设备，路侧摄像头、毫米波雷达等路侧传感设备，交通标志、交通信号灯等交通呈现设备，实现车载信息业务、车况状态诊断服务、车辆环境感知（前车透视、高精度地图等）、V2X 网联辅助驾驶、远程驾驶、网联自动驾驶（含自动驾驶编队）和智慧交通管理等应用。</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案例：南宁5G智慧交通</w:t>
      </w:r>
    </w:p>
    <w:p>
      <w:pPr>
        <w:widowControl/>
        <w:shd w:val="clear" w:color="auto" w:fill="FFFFFF"/>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南宁交管部门利用5G网络，将南宁路况视频数据传输到就近的5G边缘云端服务器上，利用云端部署的视频违法事件自动化检测应用（视觉AI模型），完成原始交通视频流的汇聚和计算，快速输出交通违法结果，加快响应和处理速度，减少违法事件与逃逸的发生，提高道路交通智能管理能力，从源头上降低事故风险，减少拥堵。</w:t>
      </w: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2、智慧港口类</w:t>
      </w:r>
    </w:p>
    <w:p>
      <w:pPr>
        <w:widowControl/>
        <w:shd w:val="clear" w:color="auto" w:fill="FFFFFF"/>
        <w:spacing w:line="324"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截止到2018年底，全国港口拥有万吨级及以上泊位2444个，其中沿海港口万吨级及以上泊位2007个，内河港口万吨级及以上泊位437个。中国是全球排名第一的贸易大国，产生全球近四分之一贸易。5G智慧港口在我国存在较大的市场应用空间，可以提升港口的龙门吊的工作效率、港口园区管理效率和安全性，提升港口与船舶、货物运输的协同性。智慧港口解决方案利用5G网络，及视频监控、AR 智能眼镜、智能巡检机器人、无人机等监测设备，实现对龙门吊的安全监控、远程操控,将船联网数据回传至港口管理平台，完善港口园区交通管理与安全监控。</w:t>
      </w:r>
    </w:p>
    <w:p>
      <w:pPr>
        <w:widowControl/>
        <w:shd w:val="clear" w:color="auto" w:fill="FFFFFF"/>
        <w:spacing w:line="324"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案例 1：舟山港5G智慧港口</w:t>
      </w:r>
    </w:p>
    <w:p>
      <w:pPr>
        <w:widowControl/>
        <w:shd w:val="clear" w:color="auto" w:fill="FFFFFF"/>
        <w:spacing w:line="324"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宁波舟山港通过5G网络实现对龙门吊的安全监控和远程处置调度，全方位感知港口运输的每个环节，为港口向无人化智能化港口发展转型奠定基础。</w:t>
      </w:r>
    </w:p>
    <w:p>
      <w:pPr>
        <w:widowControl/>
        <w:shd w:val="clear" w:color="auto" w:fill="FFFFFF"/>
        <w:spacing w:line="324"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案例 2：德国汉堡港务局5G智慧港口</w:t>
      </w:r>
    </w:p>
    <w:p>
      <w:pPr>
        <w:widowControl/>
        <w:shd w:val="clear" w:color="auto" w:fill="FFFFFF"/>
        <w:spacing w:line="324"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德国汉堡港务局利用5G网络，将船舶的货物运输数据、船舶环境感知数据、船舶状态感知数据，传回港口控制中心；将港口交通灯接入5G网络，由港口控制中心远程操作，控制通过港口园区的交通流量，安全引导物流卡车运行；通过5G+3D+AR应用程序，对港口实施监控和优化规划。</w:t>
      </w:r>
    </w:p>
    <w:p>
      <w:pPr>
        <w:widowControl/>
        <w:shd w:val="clear" w:color="auto" w:fill="FFFFFF"/>
        <w:ind w:firstLine="420" w:firstLineChars="200"/>
        <w:jc w:val="center"/>
        <w:rPr>
          <w:rFonts w:ascii="宋体" w:eastAsia="宋体" w:hAnsi="宋体" w:cs="宋体"/>
          <w:sz w:val="24"/>
          <w:szCs w:val="24"/>
          <w:highlight w:val="none"/>
        </w:rPr>
      </w:pPr>
      <w:r>
        <w:rPr>
          <w:rFonts w:ascii="宋体" w:eastAsia="宋体" w:hAnsi="宋体" w:cs="宋体" w:hint="eastAsia"/>
          <w:sz w:val="24"/>
          <w:szCs w:val="24"/>
          <w:highlight w:val="none"/>
        </w:rPr>
        <w:drawing>
          <wp:inline distT="0" distB="0" distL="114300" distR="114300">
            <wp:extent cx="5029200" cy="3441700"/>
            <wp:effectExtent l="0" t="0" r="0" b="6350"/>
            <wp:docPr id="43" name="图片 43" descr="C:\Users\Administrator\Desktop\3033a1dd9bf14beb8c3072cc140ed1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strator\Desktop\3033a1dd9bf14beb8c3072cc140ed10b.jpeg"/>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rcRect b="10265"/>
                    <a:stretch>
                      <a:fillRect/>
                    </a:stretch>
                  </pic:blipFill>
                  <pic:spPr>
                    <a:xfrm>
                      <a:off x="0" y="0"/>
                      <a:ext cx="5039061" cy="3441700"/>
                    </a:xfrm>
                    <a:prstGeom prst="rect">
                      <a:avLst/>
                    </a:prstGeom>
                    <a:noFill/>
                    <a:ln>
                      <a:noFill/>
                    </a:ln>
                  </pic:spPr>
                </pic:pic>
              </a:graphicData>
            </a:graphic>
          </wp:inline>
        </w:drawing>
      </w:r>
    </w:p>
    <w:p>
      <w:pPr>
        <w:widowControl/>
        <w:shd w:val="clear" w:color="auto" w:fill="FFFFFF"/>
        <w:spacing w:line="360" w:lineRule="auto"/>
        <w:jc w:val="center"/>
        <w:rPr>
          <w:rFonts w:ascii="宋体" w:eastAsia="宋体" w:hAnsi="宋体" w:cs="宋体"/>
          <w:sz w:val="24"/>
          <w:szCs w:val="24"/>
          <w:highlight w:val="none"/>
        </w:rPr>
      </w:pPr>
      <w:r>
        <w:rPr>
          <w:rFonts w:ascii="宋体" w:eastAsia="宋体" w:hAnsi="宋体" w:cs="宋体" w:hint="eastAsia"/>
          <w:b/>
          <w:bCs/>
          <w:szCs w:val="21"/>
          <w:highlight w:val="none"/>
        </w:rPr>
        <w:t>图4-5  5G+智慧港口解决方案及应用场景</w:t>
      </w:r>
    </w:p>
    <w:p>
      <w:pPr>
        <w:pStyle w:val="Heading2"/>
        <w:spacing w:before="260" w:after="260" w:line="360" w:lineRule="auto"/>
        <w:ind w:left="0" w:firstLine="420" w:firstLineChars="200"/>
        <w:rPr>
          <w:rFonts w:ascii="宋体" w:eastAsia="宋体" w:hAnsi="宋体" w:cs="宋体"/>
          <w:sz w:val="32"/>
          <w:szCs w:val="32"/>
          <w:highlight w:val="none"/>
        </w:rPr>
      </w:pPr>
      <w:bookmarkStart w:id="58" w:name="_Toc1530"/>
      <w:r>
        <w:rPr>
          <w:rFonts w:ascii="宋体" w:eastAsia="宋体" w:hAnsi="宋体" w:cs="宋体" w:hint="eastAsia"/>
          <w:sz w:val="32"/>
          <w:szCs w:val="32"/>
          <w:highlight w:val="none"/>
        </w:rPr>
        <w:t>第五章 发展目标与需求</w:t>
      </w:r>
      <w:bookmarkEnd w:id="58"/>
    </w:p>
    <w:p>
      <w:pPr>
        <w:pStyle w:val="Heading3"/>
        <w:spacing w:line="360" w:lineRule="auto"/>
        <w:ind w:firstLine="420" w:firstLineChars="200"/>
        <w:rPr>
          <w:rFonts w:ascii="宋体" w:eastAsia="宋体" w:hAnsi="宋体" w:cs="宋体"/>
          <w:sz w:val="28"/>
          <w:szCs w:val="28"/>
          <w:highlight w:val="none"/>
        </w:rPr>
      </w:pPr>
      <w:bookmarkStart w:id="59" w:name="_Toc8005"/>
      <w:r>
        <w:rPr>
          <w:rFonts w:ascii="宋体" w:eastAsia="宋体" w:hAnsi="宋体" w:cs="宋体" w:hint="eastAsia"/>
          <w:sz w:val="28"/>
          <w:szCs w:val="28"/>
          <w:highlight w:val="none"/>
        </w:rPr>
        <w:t>一、发展目标</w:t>
      </w:r>
      <w:bookmarkEnd w:id="59"/>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(一)满足需求</w:t>
      </w:r>
    </w:p>
    <w:p>
      <w:pPr>
        <w:adjustRightInd w:val="0"/>
        <w:spacing w:line="360" w:lineRule="auto"/>
        <w:ind w:firstLine="420" w:firstLineChars="200"/>
        <w:rPr>
          <w:rFonts w:ascii="宋体" w:eastAsia="宋体" w:hAnsi="宋体"/>
          <w:sz w:val="24"/>
          <w:szCs w:val="24"/>
          <w:highlight w:val="none"/>
        </w:rPr>
      </w:pPr>
      <w:r>
        <w:rPr>
          <w:rFonts w:ascii="宋体" w:eastAsia="宋体" w:hAnsi="宋体" w:hint="eastAsia"/>
          <w:sz w:val="24"/>
          <w:szCs w:val="24"/>
          <w:highlight w:val="none"/>
        </w:rPr>
        <w:t>结合通信运营商需求，统一规划、统一设计，紧密结合未来通信网络宽带化、智能化、个性化的发展趋势，以智慧城市的通信基础设施为建设目标，以创新的发展模式为导向，</w:t>
      </w:r>
      <w:r>
        <w:rPr>
          <w:rFonts w:ascii="宋体" w:eastAsia="宋体" w:hAnsi="宋体"/>
          <w:sz w:val="24"/>
          <w:szCs w:val="24"/>
          <w:highlight w:val="none"/>
        </w:rPr>
        <w:t>努力创建一个公平竞争、有序发展的通信设施建设环境，为区域用户提供丰富优质的通信服务。</w:t>
      </w:r>
    </w:p>
    <w:p>
      <w:pPr>
        <w:adjustRightInd w:val="0"/>
        <w:spacing w:line="360" w:lineRule="auto"/>
        <w:ind w:firstLine="420" w:firstLineChars="200"/>
        <w:rPr>
          <w:rFonts w:ascii="宋体" w:eastAsia="宋体" w:hAnsi="宋体"/>
          <w:sz w:val="24"/>
          <w:szCs w:val="24"/>
          <w:highlight w:val="none"/>
        </w:rPr>
      </w:pPr>
      <w:r>
        <w:rPr>
          <w:rFonts w:ascii="宋体" w:eastAsia="宋体" w:hAnsi="宋体"/>
          <w:sz w:val="24"/>
          <w:szCs w:val="24"/>
          <w:highlight w:val="none"/>
        </w:rPr>
        <w:t>规划期末（</w:t>
      </w:r>
      <w:r>
        <w:rPr>
          <w:rFonts w:ascii="宋体" w:eastAsia="宋体" w:hAnsi="宋体" w:hint="eastAsia"/>
          <w:sz w:val="24"/>
          <w:szCs w:val="24"/>
          <w:highlight w:val="none"/>
        </w:rPr>
        <w:t>2030</w:t>
      </w:r>
      <w:r>
        <w:rPr>
          <w:rFonts w:ascii="宋体" w:eastAsia="宋体" w:hAnsi="宋体"/>
          <w:sz w:val="24"/>
          <w:szCs w:val="24"/>
          <w:highlight w:val="none"/>
        </w:rPr>
        <w:t>年）</w:t>
      </w:r>
      <w:r>
        <w:rPr>
          <w:rFonts w:ascii="宋体" w:eastAsia="宋体" w:hAnsi="宋体" w:cs="宋体" w:hint="eastAsia"/>
          <w:sz w:val="24"/>
          <w:highlight w:val="none"/>
        </w:rPr>
        <w:t>逐步扩大5G网络覆盖范围，5G网络覆盖至高速公里、农村等区域，并进一步优化县城、乡镇及行业应用区域的网络覆盖质量，全市5G网络达到国内领先的水平。</w:t>
      </w:r>
      <w:r>
        <w:rPr>
          <w:rFonts w:ascii="宋体" w:eastAsia="宋体" w:hAnsi="宋体" w:cs="宋体" w:hint="eastAsia"/>
          <w:sz w:val="24"/>
          <w:szCs w:val="24"/>
          <w:highlight w:val="none"/>
        </w:rPr>
        <w:t>无线、宽带网络对区域内有效覆盖面积覆盖率超95%；城市主干道路的通信管道覆盖率超95%；城区、乡镇、行政村实现多家运营商光宽带覆盖率超95%，机房及管道共建共享率目标超95%。</w:t>
      </w: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(二)便于管理</w:t>
      </w:r>
    </w:p>
    <w:p>
      <w:pPr>
        <w:adjustRightInd w:val="0"/>
        <w:spacing w:line="360" w:lineRule="auto"/>
        <w:ind w:firstLine="420" w:firstLineChars="200"/>
        <w:jc w:val="left"/>
        <w:rPr>
          <w:rFonts w:ascii="宋体" w:eastAsia="宋体" w:hAnsi="宋体"/>
          <w:sz w:val="24"/>
          <w:szCs w:val="24"/>
          <w:highlight w:val="none"/>
        </w:rPr>
      </w:pPr>
      <w:r>
        <w:rPr>
          <w:rFonts w:ascii="宋体" w:eastAsia="宋体" w:hAnsi="宋体" w:hint="eastAsia"/>
          <w:sz w:val="24"/>
          <w:szCs w:val="24"/>
          <w:highlight w:val="none"/>
        </w:rPr>
        <w:t>通过合理的规划，使通信基础设施适应各区域的特点和功能布局。避免频繁报建和反复开挖，做到有序建设，可管可控。最终提供安全可靠、开放灵活、可扩展、可重新利用、充分适应新技术发展的宽带数字通信系统，高质量地满足区域快速发展的通信需求，提高城市竞争力，支撑本地区的持续快速发展。</w:t>
      </w: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(三)绿色低碳</w:t>
      </w:r>
    </w:p>
    <w:p>
      <w:pPr>
        <w:spacing w:line="360" w:lineRule="auto"/>
        <w:ind w:firstLine="420" w:firstLineChars="200"/>
        <w:rPr>
          <w:rFonts w:ascii="宋体" w:eastAsia="宋体" w:hAnsi="宋体" w:cs="宋体"/>
          <w:sz w:val="24"/>
          <w:highlight w:val="none"/>
        </w:rPr>
      </w:pPr>
      <w:r>
        <w:rPr>
          <w:rFonts w:ascii="宋体" w:eastAsia="宋体" w:hAnsi="宋体" w:hint="eastAsia"/>
          <w:sz w:val="24"/>
          <w:szCs w:val="24"/>
          <w:highlight w:val="none"/>
        </w:rPr>
        <w:t>绿色是永续发展的必要条件和人民对美好生活追求的重要体现。满足建设资源节约型、环境友好型社会的要求，通过统一规划，促进通信基础设施共建共享，节约土地、能源和原材料的消耗，保护自然环境和景观，减少重复建设，提高通信基础设施利用率。</w:t>
      </w:r>
    </w:p>
    <w:p>
      <w:pPr>
        <w:pStyle w:val="Heading3"/>
        <w:spacing w:line="360" w:lineRule="auto"/>
        <w:ind w:firstLine="420" w:firstLineChars="200"/>
        <w:rPr>
          <w:rFonts w:ascii="宋体" w:eastAsia="宋体" w:hAnsi="宋体" w:cs="宋体"/>
          <w:sz w:val="28"/>
          <w:szCs w:val="28"/>
          <w:highlight w:val="none"/>
        </w:rPr>
      </w:pPr>
      <w:bookmarkStart w:id="60" w:name="_Toc28704"/>
      <w:r>
        <w:rPr>
          <w:rFonts w:ascii="宋体" w:eastAsia="宋体" w:hAnsi="宋体" w:cs="宋体" w:hint="eastAsia"/>
          <w:sz w:val="28"/>
          <w:szCs w:val="28"/>
          <w:highlight w:val="none"/>
        </w:rPr>
        <w:t>二、发展需求</w:t>
      </w:r>
      <w:bookmarkEnd w:id="60"/>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bookmarkStart w:id="61" w:name="_Toc48496673"/>
      <w:bookmarkStart w:id="62" w:name="_Toc47975703"/>
      <w:bookmarkStart w:id="63" w:name="_Toc147849161"/>
      <w:r>
        <w:rPr>
          <w:rFonts w:ascii="宋体" w:eastAsia="宋体" w:hAnsi="宋体" w:cs="宋体" w:hint="eastAsia"/>
          <w:b/>
          <w:bCs/>
          <w:sz w:val="24"/>
          <w:szCs w:val="24"/>
          <w:highlight w:val="none"/>
        </w:rPr>
        <w:t>(一)5G个人用户预测</w:t>
      </w:r>
      <w:bookmarkEnd w:id="61"/>
      <w:bookmarkEnd w:id="62"/>
      <w:bookmarkEnd w:id="63"/>
    </w:p>
    <w:p>
      <w:pPr>
        <w:spacing w:line="360" w:lineRule="auto"/>
        <w:ind w:firstLine="480"/>
        <w:rPr>
          <w:rFonts w:ascii="宋体" w:eastAsia="宋体" w:hAnsi="宋体" w:cs="宋体"/>
          <w:sz w:val="24"/>
          <w:szCs w:val="28"/>
          <w:highlight w:val="none"/>
        </w:rPr>
      </w:pPr>
      <w:r>
        <w:rPr>
          <w:rFonts w:ascii="宋体" w:eastAsia="宋体" w:hAnsi="宋体" w:cs="宋体" w:hint="eastAsia"/>
          <w:sz w:val="24"/>
          <w:szCs w:val="28"/>
          <w:highlight w:val="none"/>
        </w:rPr>
        <w:t>2013年12月，工业和信息化部向三家运营商颁发“LTE/第四代数字蜂窝移动通信业务（TD-LTE）”经营许可，2015年2月27日，工信部向中国电信、中国联通发放了LTE FDD 4G牌照，广西2015年开始大规模建设4G基站。2015年以来北海市4G用户渗透率如下图所示：</w:t>
      </w:r>
    </w:p>
    <w:p>
      <w:pPr>
        <w:spacing w:line="360" w:lineRule="auto"/>
        <w:ind w:firstLine="420"/>
        <w:jc w:val="center"/>
        <w:rPr>
          <w:rFonts w:ascii="宋体" w:eastAsia="宋体" w:hAnsi="宋体" w:cs="宋体"/>
          <w:sz w:val="28"/>
          <w:szCs w:val="28"/>
          <w:highlight w:val="none"/>
        </w:rPr>
      </w:pPr>
      <w:r>
        <w:rPr>
          <w:rFonts w:ascii="宋体" w:eastAsia="宋体" w:hAnsi="宋体" w:cs="宋体" w:hint="eastAsia"/>
          <w:highlight w:val="none"/>
        </w:rPr>
        <w:drawing>
          <wp:inline distT="0" distB="0" distL="0" distR="0">
            <wp:extent cx="4552950" cy="273367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xmlns:r="http://schemas.openxmlformats.org/officeDocument/2006/relationships" r:embed="rId31"/>
                    <a:stretch>
                      <a:fillRect/>
                    </a:stretch>
                  </pic:blipFill>
                  <pic:spPr>
                    <a:xfrm>
                      <a:off x="0" y="0"/>
                      <a:ext cx="4552950" cy="2733675"/>
                    </a:xfrm>
                    <a:prstGeom prst="rect">
                      <a:avLst/>
                    </a:prstGeom>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图5-1 4G用户渗透率</w:t>
      </w:r>
    </w:p>
    <w:p>
      <w:pPr>
        <w:spacing w:line="360" w:lineRule="auto"/>
        <w:ind w:firstLine="480"/>
        <w:rPr>
          <w:rFonts w:ascii="宋体" w:eastAsia="宋体" w:hAnsi="宋体" w:cs="宋体"/>
          <w:sz w:val="24"/>
          <w:szCs w:val="28"/>
          <w:highlight w:val="none"/>
        </w:rPr>
      </w:pPr>
      <w:r>
        <w:rPr>
          <w:rFonts w:ascii="宋体" w:eastAsia="宋体" w:hAnsi="宋体" w:cs="宋体" w:hint="eastAsia"/>
          <w:sz w:val="24"/>
          <w:szCs w:val="28"/>
          <w:highlight w:val="none"/>
        </w:rPr>
        <w:t>由上图可以看出，新网络的用户替代旧网络用户在第5年将达到80%左右。2020年开始大规模建设5G网络，对应4G网络的2015年，期间各年5G渗透率可以参考4G用户渗透率发展情况，进行用户预测。</w:t>
      </w:r>
    </w:p>
    <w:p>
      <w:pPr>
        <w:spacing w:line="360" w:lineRule="auto"/>
        <w:ind w:firstLine="480"/>
        <w:rPr>
          <w:rFonts w:ascii="宋体" w:eastAsia="宋体" w:hAnsi="宋体" w:cs="宋体"/>
          <w:sz w:val="24"/>
          <w:szCs w:val="28"/>
          <w:highlight w:val="none"/>
        </w:rPr>
      </w:pPr>
      <w:r>
        <w:rPr>
          <w:rFonts w:ascii="宋体" w:eastAsia="宋体" w:hAnsi="宋体" w:cs="宋体" w:hint="eastAsia"/>
          <w:sz w:val="24"/>
          <w:szCs w:val="28"/>
          <w:highlight w:val="none"/>
        </w:rPr>
        <w:t>近年移动业务发展迅速，移动用户也大幅增长，2019年合浦县移动用户普及率达到120%，已经达到较高的水平,随后用户增长速度会稍微减缓。具体预测如下表所示：</w:t>
      </w:r>
    </w:p>
    <w:p>
      <w:pPr>
        <w:spacing w:line="360" w:lineRule="auto"/>
        <w:jc w:val="center"/>
        <w:rPr>
          <w:rFonts w:ascii="宋体" w:eastAsia="宋体" w:hAnsi="宋体" w:cs="宋体"/>
          <w:szCs w:val="21"/>
          <w:highlight w:val="none"/>
        </w:rPr>
      </w:pPr>
      <w:r>
        <w:rPr>
          <w:rFonts w:ascii="宋体" w:eastAsia="宋体" w:hAnsi="宋体" w:cs="宋体" w:hint="eastAsia"/>
          <w:b/>
          <w:bCs/>
          <w:szCs w:val="21"/>
          <w:highlight w:val="none"/>
        </w:rPr>
        <w:t>表5-1 规划期内移动用户预测</w:t>
      </w:r>
    </w:p>
    <w:tbl>
      <w:tblPr>
        <w:tblStyle w:val="TableNormal"/>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1080"/>
        <w:gridCol w:w="947"/>
        <w:gridCol w:w="947"/>
        <w:gridCol w:w="947"/>
        <w:gridCol w:w="947"/>
        <w:gridCol w:w="947"/>
        <w:gridCol w:w="947"/>
        <w:gridCol w:w="947"/>
        <w:gridCol w:w="947"/>
        <w:gridCol w:w="947"/>
      </w:tblGrid>
      <w:tr>
        <w:tblPrEx>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795"/>
          <w:jc w:val="center"/>
        </w:trPr>
        <w:tc>
          <w:tcPr>
            <w:tcW w:w="1080"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移动用户数（万户）</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2017年</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2018年</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2019年</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2020年</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2021年</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2022年</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2023年预测</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2024年预测</w:t>
            </w:r>
          </w:p>
        </w:tc>
        <w:tc>
          <w:tcPr>
            <w:tcW w:w="947"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2025年预测</w:t>
            </w:r>
          </w:p>
        </w:tc>
      </w:tr>
      <w:tr>
        <w:tblPrEx>
          <w:tblW w:w="9603" w:type="dxa"/>
          <w:jc w:val="center"/>
          <w:tblCellMar>
            <w:top w:w="0" w:type="dxa"/>
            <w:left w:w="108" w:type="dxa"/>
            <w:bottom w:w="0" w:type="dxa"/>
            <w:right w:w="108" w:type="dxa"/>
          </w:tblCellMar>
        </w:tblPrEx>
        <w:trPr>
          <w:trHeight w:val="283"/>
          <w:jc w:val="center"/>
        </w:trPr>
        <w:tc>
          <w:tcPr>
            <w:tcW w:w="1080"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北海</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168</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185</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199</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213</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221</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225</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229</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233</w:t>
            </w:r>
          </w:p>
        </w:tc>
        <w:tc>
          <w:tcPr>
            <w:tcW w:w="947"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237</w:t>
            </w:r>
          </w:p>
        </w:tc>
      </w:tr>
    </w:tbl>
    <w:p>
      <w:pPr>
        <w:spacing w:line="360" w:lineRule="auto"/>
        <w:ind w:firstLine="480"/>
        <w:rPr>
          <w:rFonts w:ascii="宋体" w:eastAsia="宋体" w:hAnsi="宋体" w:cs="宋体"/>
          <w:sz w:val="24"/>
          <w:szCs w:val="28"/>
          <w:highlight w:val="none"/>
        </w:rPr>
      </w:pPr>
    </w:p>
    <w:p>
      <w:pPr>
        <w:spacing w:line="360" w:lineRule="auto"/>
        <w:ind w:firstLine="480"/>
        <w:rPr>
          <w:rFonts w:ascii="宋体" w:eastAsia="宋体" w:hAnsi="宋体" w:cs="宋体"/>
          <w:b/>
          <w:bCs/>
          <w:szCs w:val="21"/>
          <w:highlight w:val="none"/>
        </w:rPr>
      </w:pPr>
      <w:r>
        <w:rPr>
          <w:rFonts w:ascii="宋体" w:eastAsia="宋体" w:hAnsi="宋体" w:cs="宋体" w:hint="eastAsia"/>
          <w:sz w:val="24"/>
          <w:szCs w:val="28"/>
          <w:highlight w:val="none"/>
        </w:rPr>
        <w:t>结合移动用户发展及参考4G渗透率，规划期内5G用户预测结果如下表所示：</w:t>
      </w:r>
    </w:p>
    <w:p>
      <w:pPr>
        <w:spacing w:line="360" w:lineRule="auto"/>
        <w:jc w:val="center"/>
        <w:rPr>
          <w:rFonts w:ascii="宋体" w:eastAsia="宋体" w:hAnsi="宋体" w:cs="宋体"/>
          <w:sz w:val="22"/>
          <w:szCs w:val="28"/>
          <w:highlight w:val="none"/>
        </w:rPr>
      </w:pPr>
      <w:r>
        <w:rPr>
          <w:rFonts w:ascii="宋体" w:eastAsia="宋体" w:hAnsi="宋体" w:cs="宋体" w:hint="eastAsia"/>
          <w:b/>
          <w:bCs/>
          <w:szCs w:val="21"/>
          <w:highlight w:val="none"/>
        </w:rPr>
        <w:t>表5-2 规划期内5G用户数量预测</w:t>
      </w:r>
    </w:p>
    <w:tbl>
      <w:tblPr>
        <w:tblStyle w:val="TableNormal"/>
        <w:tblW w:w="8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2464"/>
        <w:gridCol w:w="1080"/>
        <w:gridCol w:w="1080"/>
        <w:gridCol w:w="1080"/>
        <w:gridCol w:w="1080"/>
        <w:gridCol w:w="1080"/>
        <w:gridCol w:w="1080"/>
      </w:tblGrid>
      <w:tr>
        <w:tblPrEx>
          <w:tblW w:w="8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83"/>
          <w:jc w:val="center"/>
        </w:trPr>
        <w:tc>
          <w:tcPr>
            <w:tcW w:w="2464"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5G用户预测（万户）</w:t>
            </w:r>
          </w:p>
        </w:tc>
        <w:tc>
          <w:tcPr>
            <w:tcW w:w="1080"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2020年</w:t>
            </w:r>
          </w:p>
        </w:tc>
        <w:tc>
          <w:tcPr>
            <w:tcW w:w="1080"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2021年</w:t>
            </w:r>
          </w:p>
        </w:tc>
        <w:tc>
          <w:tcPr>
            <w:tcW w:w="1080"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2022年</w:t>
            </w:r>
          </w:p>
        </w:tc>
        <w:tc>
          <w:tcPr>
            <w:tcW w:w="1080"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2023年预测</w:t>
            </w:r>
          </w:p>
        </w:tc>
        <w:tc>
          <w:tcPr>
            <w:tcW w:w="1080"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2024年预测</w:t>
            </w:r>
          </w:p>
        </w:tc>
        <w:tc>
          <w:tcPr>
            <w:tcW w:w="1080" w:type="dxa"/>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2025年预测</w:t>
            </w:r>
          </w:p>
        </w:tc>
      </w:tr>
      <w:tr>
        <w:tblPrEx>
          <w:tblW w:w="8944" w:type="dxa"/>
          <w:jc w:val="center"/>
          <w:tblCellMar>
            <w:top w:w="0" w:type="dxa"/>
            <w:left w:w="108" w:type="dxa"/>
            <w:bottom w:w="0" w:type="dxa"/>
            <w:right w:w="108" w:type="dxa"/>
          </w:tblCellMar>
        </w:tblPrEx>
        <w:trPr>
          <w:trHeight w:val="283"/>
          <w:jc w:val="center"/>
        </w:trPr>
        <w:tc>
          <w:tcPr>
            <w:tcW w:w="2464" w:type="dxa"/>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北海</w:t>
            </w:r>
          </w:p>
        </w:tc>
        <w:tc>
          <w:tcPr>
            <w:tcW w:w="1080" w:type="dxa"/>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41</w:t>
            </w:r>
          </w:p>
        </w:tc>
        <w:tc>
          <w:tcPr>
            <w:tcW w:w="1080" w:type="dxa"/>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104</w:t>
            </w:r>
          </w:p>
        </w:tc>
        <w:tc>
          <w:tcPr>
            <w:tcW w:w="1080" w:type="dxa"/>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153</w:t>
            </w:r>
          </w:p>
        </w:tc>
        <w:tc>
          <w:tcPr>
            <w:tcW w:w="1080" w:type="dxa"/>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173</w:t>
            </w:r>
          </w:p>
        </w:tc>
        <w:tc>
          <w:tcPr>
            <w:tcW w:w="1080" w:type="dxa"/>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188</w:t>
            </w:r>
          </w:p>
        </w:tc>
        <w:tc>
          <w:tcPr>
            <w:tcW w:w="1080" w:type="dxa"/>
            <w:shd w:val="clear" w:color="auto" w:fill="auto"/>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203</w:t>
            </w:r>
          </w:p>
        </w:tc>
      </w:tr>
    </w:tbl>
    <w:p>
      <w:pPr>
        <w:spacing w:line="360" w:lineRule="auto"/>
        <w:ind w:firstLine="420"/>
        <w:jc w:val="center"/>
        <w:rPr>
          <w:rFonts w:ascii="宋体" w:eastAsia="宋体" w:hAnsi="宋体" w:cs="宋体"/>
          <w:sz w:val="24"/>
          <w:szCs w:val="28"/>
          <w:highlight w:val="none"/>
        </w:rPr>
      </w:pPr>
      <w:r>
        <w:rPr>
          <w:rFonts w:ascii="宋体" w:eastAsia="宋体" w:hAnsi="宋体" w:cs="宋体" w:hint="eastAsia"/>
          <w:highlight w:val="none"/>
        </w:rPr>
        <w:drawing>
          <wp:inline distT="0" distB="0" distL="0" distR="0">
            <wp:extent cx="4533900" cy="273367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xmlns:r="http://schemas.openxmlformats.org/officeDocument/2006/relationships" r:embed="rId32"/>
                    <a:stretch>
                      <a:fillRect/>
                    </a:stretch>
                  </pic:blipFill>
                  <pic:spPr>
                    <a:xfrm>
                      <a:off x="0" y="0"/>
                      <a:ext cx="4533900" cy="2733675"/>
                    </a:xfrm>
                    <a:prstGeom prst="rect">
                      <a:avLst/>
                    </a:prstGeom>
                  </pic:spPr>
                </pic:pic>
              </a:graphicData>
            </a:graphic>
          </wp:inline>
        </w:drawing>
      </w:r>
    </w:p>
    <w:p>
      <w:pPr>
        <w:spacing w:line="360" w:lineRule="auto"/>
        <w:ind w:firstLine="440"/>
        <w:jc w:val="center"/>
        <w:rPr>
          <w:rFonts w:ascii="宋体" w:eastAsia="宋体" w:hAnsi="宋体" w:cs="宋体"/>
          <w:b/>
          <w:bCs/>
          <w:szCs w:val="21"/>
          <w:highlight w:val="none"/>
        </w:rPr>
      </w:pPr>
      <w:r>
        <w:rPr>
          <w:rFonts w:ascii="宋体" w:eastAsia="宋体" w:hAnsi="宋体" w:cs="宋体" w:hint="eastAsia"/>
          <w:b/>
          <w:bCs/>
          <w:szCs w:val="21"/>
          <w:highlight w:val="none"/>
        </w:rPr>
        <w:t>图5-2 规划期内5G用户数量预测（2023-2025年为预测）</w:t>
      </w:r>
    </w:p>
    <w:p>
      <w:pPr>
        <w:spacing w:line="360" w:lineRule="auto"/>
        <w:ind w:firstLine="480"/>
        <w:rPr>
          <w:rFonts w:ascii="宋体" w:eastAsia="宋体" w:hAnsi="宋体" w:cs="宋体"/>
          <w:sz w:val="24"/>
          <w:szCs w:val="28"/>
          <w:highlight w:val="none"/>
        </w:rPr>
      </w:pPr>
      <w:r>
        <w:rPr>
          <w:rFonts w:ascii="宋体" w:eastAsia="宋体" w:hAnsi="宋体" w:cs="宋体" w:hint="eastAsia"/>
          <w:sz w:val="24"/>
          <w:szCs w:val="28"/>
          <w:highlight w:val="none"/>
        </w:rPr>
        <w:t>通过对标5G先发国家经验数据，参考4G初期广西4G用户较3G用户DOU（平均每户每月上网流量）增长情况，得出4G/ 5G用户DOU预测结果如下表所示：</w:t>
      </w:r>
    </w:p>
    <w:p>
      <w:pPr>
        <w:spacing w:line="360" w:lineRule="auto"/>
        <w:ind w:firstLine="440"/>
        <w:jc w:val="center"/>
        <w:rPr>
          <w:rFonts w:ascii="宋体" w:eastAsia="宋体" w:hAnsi="宋体" w:cs="宋体"/>
          <w:b/>
          <w:bCs/>
          <w:szCs w:val="21"/>
          <w:highlight w:val="none"/>
        </w:rPr>
      </w:pPr>
      <w:r>
        <w:rPr>
          <w:rFonts w:ascii="宋体" w:eastAsia="宋体" w:hAnsi="宋体" w:cs="宋体" w:hint="eastAsia"/>
          <w:b/>
          <w:bCs/>
          <w:szCs w:val="21"/>
          <w:highlight w:val="none"/>
        </w:rPr>
        <w:t>表5-3  规划期内4G/ 5G用户DOU预测</w:t>
      </w:r>
    </w:p>
    <w:tbl>
      <w:tblPr>
        <w:tblStyle w:val="TableNormal"/>
        <w:tblW w:w="42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2214"/>
        <w:gridCol w:w="1039"/>
        <w:gridCol w:w="1039"/>
        <w:gridCol w:w="1039"/>
        <w:gridCol w:w="1039"/>
        <w:gridCol w:w="1039"/>
        <w:gridCol w:w="1037"/>
      </w:tblGrid>
      <w:tr>
        <w:tblPrEx>
          <w:tblW w:w="42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83"/>
          <w:tblHeader/>
          <w:jc w:val="center"/>
        </w:trPr>
        <w:tc>
          <w:tcPr>
            <w:tcW w:w="1311" w:type="pct"/>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DOU预测（GB）</w:t>
            </w:r>
          </w:p>
        </w:tc>
        <w:tc>
          <w:tcPr>
            <w:tcW w:w="615" w:type="pct"/>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2020年</w:t>
            </w:r>
          </w:p>
        </w:tc>
        <w:tc>
          <w:tcPr>
            <w:tcW w:w="615" w:type="pct"/>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2021年</w:t>
            </w:r>
          </w:p>
        </w:tc>
        <w:tc>
          <w:tcPr>
            <w:tcW w:w="615" w:type="pct"/>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2022年</w:t>
            </w:r>
          </w:p>
        </w:tc>
        <w:tc>
          <w:tcPr>
            <w:tcW w:w="615" w:type="pct"/>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2023年</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预测</w:t>
            </w:r>
          </w:p>
        </w:tc>
        <w:tc>
          <w:tcPr>
            <w:tcW w:w="615" w:type="pct"/>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2024年</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预测</w:t>
            </w:r>
          </w:p>
        </w:tc>
        <w:tc>
          <w:tcPr>
            <w:tcW w:w="613" w:type="pct"/>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2025年</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预测</w:t>
            </w:r>
          </w:p>
        </w:tc>
      </w:tr>
      <w:tr>
        <w:tblPrEx>
          <w:tblW w:w="4207" w:type="pct"/>
          <w:jc w:val="center"/>
          <w:tblCellMar>
            <w:top w:w="0" w:type="dxa"/>
            <w:left w:w="108" w:type="dxa"/>
            <w:bottom w:w="0" w:type="dxa"/>
            <w:right w:w="108" w:type="dxa"/>
          </w:tblCellMar>
        </w:tblPrEx>
        <w:trPr>
          <w:trHeight w:val="283"/>
          <w:jc w:val="center"/>
        </w:trPr>
        <w:tc>
          <w:tcPr>
            <w:tcW w:w="1311"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4G</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9.5</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11</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10.2</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8.9</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6.8</w:t>
            </w:r>
          </w:p>
        </w:tc>
        <w:tc>
          <w:tcPr>
            <w:tcW w:w="613" w:type="pct"/>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p>
        </w:tc>
      </w:tr>
      <w:tr>
        <w:tblPrEx>
          <w:tblW w:w="4207" w:type="pct"/>
          <w:jc w:val="center"/>
          <w:tblCellMar>
            <w:top w:w="0" w:type="dxa"/>
            <w:left w:w="108" w:type="dxa"/>
            <w:bottom w:w="0" w:type="dxa"/>
            <w:right w:w="108" w:type="dxa"/>
          </w:tblCellMar>
        </w:tblPrEx>
        <w:trPr>
          <w:trHeight w:val="283"/>
          <w:jc w:val="center"/>
        </w:trPr>
        <w:tc>
          <w:tcPr>
            <w:tcW w:w="1311"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5G</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30</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40</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45</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55</w:t>
            </w:r>
          </w:p>
        </w:tc>
        <w:tc>
          <w:tcPr>
            <w:tcW w:w="615" w:type="pct"/>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68</w:t>
            </w:r>
          </w:p>
        </w:tc>
        <w:tc>
          <w:tcPr>
            <w:tcW w:w="613" w:type="pct"/>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86</w:t>
            </w:r>
          </w:p>
        </w:tc>
      </w:tr>
    </w:tbl>
    <w:p>
      <w:pPr>
        <w:widowControl/>
        <w:rPr>
          <w:rFonts w:ascii="宋体" w:eastAsia="宋体" w:hAnsi="宋体" w:cs="宋体"/>
          <w:sz w:val="32"/>
          <w:szCs w:val="32"/>
          <w:highlight w:val="none"/>
        </w:rPr>
      </w:pPr>
      <w:r>
        <w:rPr>
          <w:rFonts w:ascii="宋体" w:eastAsia="宋体" w:hAnsi="宋体" w:cs="宋体" w:hint="eastAsia"/>
          <w:sz w:val="32"/>
          <w:szCs w:val="32"/>
          <w:highlight w:val="none"/>
        </w:rPr>
        <w:t xml:space="preserve"> </w:t>
      </w:r>
    </w:p>
    <w:p>
      <w:pPr>
        <w:widowControl/>
        <w:jc w:val="center"/>
        <w:rPr>
          <w:rFonts w:ascii="宋体" w:eastAsia="宋体" w:hAnsi="宋体" w:cs="宋体"/>
          <w:sz w:val="32"/>
          <w:szCs w:val="32"/>
          <w:highlight w:val="none"/>
        </w:rPr>
      </w:pPr>
      <w:r>
        <w:rPr>
          <w:rFonts w:ascii="宋体" w:eastAsia="宋体" w:hAnsi="宋体" w:cs="宋体" w:hint="eastAsia"/>
          <w:sz w:val="32"/>
          <w:szCs w:val="32"/>
          <w:highlight w:val="none"/>
        </w:rPr>
        <w:t xml:space="preserve"> </w:t>
      </w:r>
      <w:r>
        <w:rPr>
          <w:rFonts w:ascii="宋体" w:eastAsia="宋体" w:hAnsi="宋体" w:cs="宋体" w:hint="eastAsia"/>
          <w:sz w:val="28"/>
          <w:szCs w:val="28"/>
          <w:highlight w:val="none"/>
        </w:rPr>
        <w:drawing>
          <wp:inline distT="0" distB="0" distL="0" distR="0">
            <wp:extent cx="4533900" cy="2705100"/>
            <wp:effectExtent l="0" t="0" r="0" b="0"/>
            <wp:docPr id="42" name="图片 42" descr="C:\Users\Lantian\AppData\Local\Microsoft\Windows\INetCache\Content.Word\业务预测-D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Lantian\AppData\Local\Microsoft\Windows\INetCache\Content.Word\业务预测-DOU.PNG"/>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4533900" cy="2705100"/>
                    </a:xfrm>
                    <a:prstGeom prst="rect">
                      <a:avLst/>
                    </a:prstGeom>
                    <a:noFill/>
                    <a:ln>
                      <a:noFill/>
                    </a:ln>
                  </pic:spPr>
                </pic:pic>
              </a:graphicData>
            </a:graphic>
          </wp:inline>
        </w:drawing>
      </w:r>
    </w:p>
    <w:p>
      <w:pPr>
        <w:spacing w:line="360" w:lineRule="auto"/>
        <w:ind w:firstLine="440"/>
        <w:jc w:val="center"/>
        <w:rPr>
          <w:rFonts w:ascii="宋体" w:eastAsia="宋体" w:hAnsi="宋体"/>
          <w:sz w:val="24"/>
          <w:szCs w:val="24"/>
          <w:highlight w:val="none"/>
        </w:rPr>
      </w:pPr>
      <w:r>
        <w:rPr>
          <w:rFonts w:ascii="宋体" w:eastAsia="宋体" w:hAnsi="宋体" w:cs="宋体" w:hint="eastAsia"/>
          <w:b/>
          <w:bCs/>
          <w:szCs w:val="21"/>
          <w:highlight w:val="none"/>
        </w:rPr>
        <w:t>图5-3 规划期内5G用户数量预测</w:t>
      </w:r>
      <w:bookmarkStart w:id="64" w:name="_Toc147849162"/>
      <w:bookmarkStart w:id="65" w:name="_Toc47975704"/>
      <w:bookmarkStart w:id="66" w:name="_Toc47774982"/>
      <w:bookmarkStart w:id="67" w:name="_Toc48496674"/>
      <w:r>
        <w:rPr>
          <w:rFonts w:ascii="宋体" w:eastAsia="宋体" w:hAnsi="宋体" w:cs="宋体" w:hint="eastAsia"/>
          <w:b/>
          <w:bCs/>
          <w:szCs w:val="21"/>
          <w:highlight w:val="none"/>
        </w:rPr>
        <w:t>（2023-2025年为预测）</w:t>
      </w: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(二)5G行业发展预测</w:t>
      </w:r>
      <w:bookmarkEnd w:id="64"/>
      <w:bookmarkEnd w:id="65"/>
      <w:bookmarkEnd w:id="66"/>
      <w:bookmarkEnd w:id="67"/>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2020年，垂直行业应用以视频需求为主，包括高清视频、视频直播、视频监控、远程控制、远程会诊、远程教学、专网专线等应用。</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2021-2022年，各类行业应用开始规模发展，包括云R/AR，无人机巡检，服务类机器人，智能电网，智慧矿山、智慧港口、应急救援及智能医疗部分应用，无人驾驶开始在特殊场景下开始应用。</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2023年及以后，随着 uRLLC、切片技术逐步成熟，智能制造快速发展，专网类行业应用发展起步，包括远程手术、智能制造、无人驾驶等。</w:t>
      </w:r>
    </w:p>
    <w:p>
      <w:pPr>
        <w:widowControl/>
        <w:jc w:val="center"/>
        <w:rPr>
          <w:rFonts w:ascii="宋体" w:eastAsia="宋体" w:hAnsi="宋体" w:cs="宋体"/>
          <w:sz w:val="32"/>
          <w:szCs w:val="32"/>
          <w:highlight w:val="none"/>
        </w:rPr>
      </w:pPr>
      <w:r>
        <w:rPr>
          <w:rFonts w:ascii="宋体" w:eastAsia="宋体" w:hAnsi="宋体" w:cs="宋体" w:hint="eastAsia"/>
          <w:highlight w:val="none"/>
        </w:rPr>
        <w:drawing>
          <wp:inline distT="0" distB="0" distL="0" distR="0">
            <wp:extent cx="6496685" cy="2456180"/>
            <wp:effectExtent l="0" t="0" r="18415" b="1270"/>
            <wp:docPr id="46" name="图片 46" descr="C:\Users\Lantian\AppData\Local\Microsoft\Windows\INetCache\Content.Word\行业发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Lantian\AppData\Local\Microsoft\Windows\INetCache\Content.Word\行业发展.png"/>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6496685" cy="2456180"/>
                    </a:xfrm>
                    <a:prstGeom prst="rect">
                      <a:avLst/>
                    </a:prstGeom>
                    <a:noFill/>
                    <a:ln>
                      <a:noFill/>
                    </a:ln>
                  </pic:spPr>
                </pic:pic>
              </a:graphicData>
            </a:graphic>
          </wp:inline>
        </w:drawing>
      </w:r>
    </w:p>
    <w:p>
      <w:pPr>
        <w:ind w:firstLine="420"/>
        <w:jc w:val="center"/>
        <w:rPr>
          <w:rFonts w:ascii="宋体" w:eastAsia="宋体" w:hAnsi="宋体" w:cs="宋体"/>
          <w:sz w:val="24"/>
          <w:szCs w:val="24"/>
          <w:highlight w:val="none"/>
        </w:rPr>
      </w:pPr>
      <w:r>
        <w:rPr>
          <w:rFonts w:ascii="宋体" w:eastAsia="宋体" w:hAnsi="宋体" w:cs="宋体" w:hint="eastAsia"/>
          <w:b/>
          <w:bCs/>
          <w:szCs w:val="21"/>
          <w:highlight w:val="none"/>
        </w:rPr>
        <w:t>图5-4 规划期内5G行业应用</w:t>
      </w:r>
    </w:p>
    <w:p>
      <w:pPr>
        <w:rPr>
          <w:highlight w:val="none"/>
        </w:rPr>
      </w:pPr>
    </w:p>
    <w:p>
      <w:pPr>
        <w:widowControl/>
        <w:shd w:val="clear" w:color="auto" w:fill="FFFFFF"/>
        <w:spacing w:before="120" w:after="60" w:line="360" w:lineRule="auto"/>
        <w:ind w:firstLine="420" w:firstLineChars="200"/>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(三)未来6G发展预测及与5G相衔接</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1、未来6G发展预测</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6G，即第六代移动通信技术，也称第六代移动通信标准。与目前的5G网络对比，6G的基本特征是带宽更大、覆盖面更广、更智能，后者使用毫米波、太赫兹为代表的新技术，下载速度理论上可达每秒1TB，6G的传输能力理论上比5G提升100倍，网络延迟也可能从毫秒降到微秒级。除了传输能力显著提升，6G无线网络不再困于地面，而将实现地面、卫星和机载网络的无缝连接。超级无线宽带、超大规模连接、极其可靠通信、普惠智能服务、通信感知融合是6G通信五大应用场景。目前6G技术仍在开发阶段，我国正加快6G技术研发。</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2023年6月4日，中国工信部部长金壮龙在第31届中国国际信息通信展览会上表示，将前瞻布局下一代互联网等前沿领域，全面推进6G技术研</w:t>
      </w:r>
      <w:r>
        <w:rPr>
          <w:rFonts w:ascii="宋体" w:eastAsia="宋体" w:hAnsi="宋体" w:cs="宋体"/>
          <w:sz w:val="24"/>
          <w:szCs w:val="24"/>
          <w:highlight w:val="none"/>
        </w:rPr>
        <w:t>发。</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据相关资料显示，工信部牵头组建IMT-2030（6G）工作组，成员包括运营商、制造商、高校和研究机构。时间规划上看，推进组6G技术试验分为三个阶段：2022-2024年是关键技术试验阶段，明确6G主要技术方向，开展概念样机试验验证，提升技术能力；2025-2026年是技术方案试验阶段，面向典型场景及性能指标，研发6G原型样机，开展单站功能测试及性能验证；2027-2030年左右是系统组网试验阶段，研发6G预商用设备，开展6G关键产品测试，全面验证和优化6G能力。预计2030年6G有望实现商用。</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2、6G与5G相衔接</w:t>
      </w:r>
    </w:p>
    <w:p>
      <w:pPr>
        <w:spacing w:line="42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未来，在6G实现商用后，随着6G技术的发展和推广，可与现有的5G基站相衔接，对新设备迭代优选共址建设并部署于原有的机房中，在不影响基站布局的情况下，视具体情况尽量选择现有设施站址，后续只针对部分盲点做适当补充，以减少建设站址资源和周期，并充分利用存量资源，减少重复建设。</w:t>
      </w:r>
    </w:p>
    <w:p>
      <w:pPr>
        <w:spacing w:line="420" w:lineRule="auto"/>
        <w:ind w:firstLine="480"/>
        <w:rPr>
          <w:rFonts w:ascii="宋体" w:eastAsia="宋体" w:hAnsi="宋体" w:cs="宋体"/>
          <w:sz w:val="24"/>
          <w:szCs w:val="24"/>
          <w:highlight w:val="none"/>
        </w:rPr>
      </w:pPr>
    </w:p>
    <w:p>
      <w:pPr>
        <w:rPr>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68" w:name="_Toc1936"/>
      <w:r>
        <w:rPr>
          <w:rFonts w:ascii="宋体" w:eastAsia="宋体" w:hAnsi="宋体" w:cs="宋体" w:hint="eastAsia"/>
          <w:sz w:val="32"/>
          <w:szCs w:val="32"/>
          <w:highlight w:val="none"/>
        </w:rPr>
        <w:t>第六章 5G通信宏基站基础设施布局规划</w:t>
      </w:r>
      <w:bookmarkEnd w:id="68"/>
    </w:p>
    <w:p>
      <w:pPr>
        <w:pStyle w:val="Heading3"/>
        <w:spacing w:line="360" w:lineRule="auto"/>
        <w:ind w:firstLine="420" w:firstLineChars="200"/>
        <w:rPr>
          <w:rFonts w:ascii="宋体" w:eastAsia="宋体" w:hAnsi="宋体" w:cs="宋体"/>
          <w:sz w:val="28"/>
          <w:szCs w:val="28"/>
          <w:highlight w:val="none"/>
        </w:rPr>
      </w:pPr>
      <w:bookmarkStart w:id="69" w:name="_Toc17068"/>
      <w:r>
        <w:rPr>
          <w:rFonts w:ascii="宋体" w:eastAsia="宋体" w:hAnsi="宋体" w:cs="宋体" w:hint="eastAsia"/>
          <w:sz w:val="28"/>
          <w:szCs w:val="28"/>
          <w:highlight w:val="none"/>
        </w:rPr>
        <w:t>一、市域通信宏基站空间结构规划</w:t>
      </w:r>
      <w:bookmarkEnd w:id="69"/>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本次规划范围以北海市区行政区界线为基础，北海城区部分包括银海区、海城区、铁山港区市区范围，总规划面积282.937平方千米。此外，本规划还涵盖了开发区、工业园区、乡镇、农村、高速公路、高铁线路等整个北海市管辖范围需要覆盖的区域。</w:t>
      </w:r>
    </w:p>
    <w:p>
      <w:pPr>
        <w:pStyle w:val="Heading3"/>
        <w:spacing w:line="360" w:lineRule="auto"/>
        <w:ind w:firstLine="420" w:firstLineChars="200"/>
        <w:rPr>
          <w:rFonts w:ascii="宋体" w:eastAsia="宋体" w:hAnsi="宋体" w:cs="宋体"/>
          <w:sz w:val="28"/>
          <w:szCs w:val="28"/>
          <w:highlight w:val="none"/>
        </w:rPr>
      </w:pPr>
      <w:bookmarkStart w:id="70" w:name="_Toc28354"/>
      <w:r>
        <w:rPr>
          <w:rFonts w:ascii="宋体" w:eastAsia="宋体" w:hAnsi="宋体" w:cs="宋体" w:hint="eastAsia"/>
          <w:sz w:val="28"/>
          <w:szCs w:val="28"/>
          <w:highlight w:val="none"/>
        </w:rPr>
        <w:t>二、规划场景类型</w:t>
      </w:r>
      <w:bookmarkEnd w:id="70"/>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根据无线传播特性，结合北海市地貌特点和城市发展规划，将规划区归类为以下四种场景类型：密集市区、一般市区（同县城）、郊区（同乡镇）、农村。</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密集市区地形相对平坦，区域内中高层建筑物较多，楼宇分布较为密集，建筑物平均高度明显高于周围。区域内人口密度极高，话务量大，高端用户所占的比例高，对数据业务有较高需求。由于楼宇分布密集，无线传播环境复杂，导致穿透损耗很大，容易形成无线信号弱覆盖甚至是无覆盖区域。</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一般市区同样属于城市区域，地形相对平坦，有较密集的楼宇分布，但以中低层建筑为主。区域内人口较密集，有一定的数据业务需求，对网络质量要求较高。</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郊区乡镇为城市和农村相过渡的区域，区域内以低层建筑为主，建筑不密集。对于郊区，网络以覆盖为主，兼顾容量的热点需求。比如各个县区中心城区周边的乡镇及其它乡镇的镇中心区域、工业园等均适用于郊区乡镇的场景。</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农村区域人口、房屋分布较为稀疏，区域内多有山体、林地、耕地等。对于农村区域，无线网络以覆盖为主，移动通信基站覆盖半径较大。所有的乡镇边缘区域、行政村、自然村、林地、耕地等均可以适用于农村的场景。</w:t>
      </w:r>
    </w:p>
    <w:p>
      <w:pPr>
        <w:pStyle w:val="Heading3"/>
        <w:spacing w:line="360" w:lineRule="auto"/>
        <w:ind w:firstLine="420" w:firstLineChars="200"/>
        <w:rPr>
          <w:rFonts w:ascii="宋体" w:eastAsia="宋体" w:hAnsi="宋体" w:cs="宋体"/>
          <w:sz w:val="28"/>
          <w:szCs w:val="28"/>
          <w:highlight w:val="none"/>
        </w:rPr>
      </w:pPr>
      <w:bookmarkStart w:id="71" w:name="_Toc27954"/>
      <w:r>
        <w:rPr>
          <w:rFonts w:ascii="宋体" w:eastAsia="宋体" w:hAnsi="宋体" w:cs="宋体" w:hint="eastAsia"/>
          <w:sz w:val="28"/>
          <w:szCs w:val="28"/>
          <w:highlight w:val="none"/>
        </w:rPr>
        <w:t>三、市域通信宏基站规划原则</w:t>
      </w:r>
      <w:bookmarkEnd w:id="71"/>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（一）站址规划思路</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本次规划通过现状基站整合与升级、加密布局新建基站等方法，对北海市5G宏基站进行空间布局。结合规划原则和覆盖需求，进行5G基站空间布局说明如下：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1、结合现有资源情况，按照基础电信企业现有4G基站1:1的比例共址规划；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2、按照基础电信企业现有4G基站1:1的比例共址规划后，不能满足5G规划需求时，考虑新建站址满足覆盖需求（不拆除原塔）。</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highlight w:val="none"/>
        </w:rPr>
        <w:t>3、</w:t>
      </w:r>
      <w:r>
        <w:rPr>
          <w:rFonts w:ascii="宋体" w:eastAsia="宋体" w:hAnsi="宋体" w:cs="宋体" w:hint="eastAsia"/>
          <w:sz w:val="24"/>
          <w:szCs w:val="24"/>
          <w:highlight w:val="none"/>
        </w:rPr>
        <w:t>在网络规划阶段，至少在理论规划阶段，为简化蜂窝系统的规划和设计，通常把小区形状定义为六边形，覆盖面积上无重叠也无盲区。如果假设无线电波在所有方向上都均匀传播并且收发之间没有障碍物的话，那么蜂窝小区将会提供理想的圆形形状覆盖。但是，事实上考虑到地形地物，特别是建筑物等的阻挡之后，小区形状变化非常大，和六边形或圆形形状完全不同。</w:t>
      </w:r>
    </w:p>
    <w:p>
      <w:pPr>
        <w:spacing w:line="360" w:lineRule="auto"/>
        <w:ind w:firstLine="420" w:firstLineChars="200"/>
        <w:jc w:val="center"/>
        <w:rPr>
          <w:rFonts w:ascii="宋体" w:eastAsia="宋体" w:hAnsi="宋体" w:cs="宋体"/>
          <w:sz w:val="24"/>
          <w:szCs w:val="24"/>
          <w:highlight w:val="none"/>
        </w:rPr>
      </w:pPr>
      <w:r>
        <w:rPr>
          <w:rFonts w:ascii="宋体" w:eastAsia="宋体" w:hAnsi="宋体" w:cs="宋体" w:hint="eastAsia"/>
          <w:sz w:val="20"/>
          <w:highlight w:val="none"/>
        </w:rPr>
        <w:drawing>
          <wp:inline distT="0" distB="0" distL="0" distR="0">
            <wp:extent cx="4163060" cy="1914525"/>
            <wp:effectExtent l="0" t="0" r="8890" b="9525"/>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jpeg"/>
                    <pic:cNvPicPr>
                      <a:picLocks noChangeAspect="1"/>
                    </pic:cNvPicPr>
                  </pic:nvPicPr>
                  <pic:blipFill>
                    <a:blip xmlns:r="http://schemas.openxmlformats.org/officeDocument/2006/relationships" r:embed="rId35" cstate="print"/>
                    <a:stretch>
                      <a:fillRect/>
                    </a:stretch>
                  </pic:blipFill>
                  <pic:spPr>
                    <a:xfrm>
                      <a:off x="0" y="0"/>
                      <a:ext cx="4163253" cy="1914525"/>
                    </a:xfrm>
                    <a:prstGeom prst="rect">
                      <a:avLst/>
                    </a:prstGeom>
                  </pic:spPr>
                </pic:pic>
              </a:graphicData>
            </a:graphic>
          </wp:inline>
        </w:drawing>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根据蜂窝网络结构和三角函数关系，我们可以得出基站覆盖半径R、站间距D、覆盖面积S之间的关系公式。</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采用全向站方式建设时：</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highlight w:val="none"/>
        </w:rPr>
        <w:drawing>
          <wp:inline distT="0" distB="0" distL="0" distR="0">
            <wp:extent cx="2638425" cy="577850"/>
            <wp:effectExtent l="0" t="0" r="9525" b="1270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xmlns:r="http://schemas.openxmlformats.org/officeDocument/2006/relationships" r:embed="rId36"/>
                    <a:stretch>
                      <a:fillRect/>
                    </a:stretch>
                  </pic:blipFill>
                  <pic:spPr>
                    <a:xfrm>
                      <a:off x="0" y="0"/>
                      <a:ext cx="2736332" cy="599664"/>
                    </a:xfrm>
                    <a:prstGeom prst="rect">
                      <a:avLst/>
                    </a:prstGeom>
                  </pic:spPr>
                </pic:pic>
              </a:graphicData>
            </a:graphic>
          </wp:inline>
        </w:drawing>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采用定向站方式建设时：</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highlight w:val="none"/>
        </w:rPr>
        <w:drawing>
          <wp:inline distT="0" distB="0" distL="0" distR="0">
            <wp:extent cx="2571750" cy="574675"/>
            <wp:effectExtent l="0" t="0" r="0" b="1587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xmlns:r="http://schemas.openxmlformats.org/officeDocument/2006/relationships" r:embed="rId37"/>
                    <a:stretch>
                      <a:fillRect/>
                    </a:stretch>
                  </pic:blipFill>
                  <pic:spPr>
                    <a:xfrm>
                      <a:off x="0" y="0"/>
                      <a:ext cx="2990489" cy="668381"/>
                    </a:xfrm>
                    <a:prstGeom prst="rect">
                      <a:avLst/>
                    </a:prstGeom>
                  </pic:spPr>
                </pic:pic>
              </a:graphicData>
            </a:graphic>
          </wp:inline>
        </w:drawing>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（二）存量站址评估</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在站址布局规划基础上，以满足5G目标区域有效覆盖为前提，兼顾各方社会效益、工程难度及造价等因素，优先考虑存量共享和利用社会资源，其次考虑新建共享，避免重复建设，具体整合流程如下：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1、需评估存量站址的可用性，根据站址位置、塔桅承载空间等站址资源能力情况，重点分析塔桅承载能力和外市电是否可改造等资源能力关键信息。</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2、站址可用性评估中，除了对配套需求进行分析，还应充分考虑业主因素，新增设备或改造建设时候是否受阻。</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对于存量站址通过改造后不能满足建设需求的站点，需在原址附近新建站点来替代。</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（三）站址布局原则</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根据目前5G技术研究分析、试验网和实际网络建设测试数据，各频段站间距参考如下：</w:t>
      </w:r>
    </w:p>
    <w:p>
      <w:pPr>
        <w:widowControl/>
        <w:spacing w:line="360" w:lineRule="auto"/>
        <w:ind w:firstLine="420" w:firstLineChars="200"/>
        <w:jc w:val="center"/>
        <w:rPr>
          <w:rFonts w:ascii="宋体" w:eastAsia="宋体" w:hAnsi="宋体" w:cs="宋体"/>
          <w:b/>
          <w:bCs/>
          <w:szCs w:val="21"/>
          <w:highlight w:val="none"/>
        </w:rPr>
      </w:pPr>
    </w:p>
    <w:p>
      <w:pPr>
        <w:widowControl/>
        <w:spacing w:line="360" w:lineRule="auto"/>
        <w:ind w:firstLine="420" w:firstLineChars="200"/>
        <w:jc w:val="center"/>
        <w:rPr>
          <w:rFonts w:ascii="宋体" w:eastAsia="宋体" w:hAnsi="宋体" w:cs="宋体"/>
          <w:b/>
          <w:bCs/>
          <w:szCs w:val="21"/>
          <w:highlight w:val="none"/>
        </w:rPr>
      </w:pPr>
    </w:p>
    <w:p>
      <w:pPr>
        <w:widowControl/>
        <w:spacing w:line="360" w:lineRule="auto"/>
        <w:ind w:firstLine="420" w:firstLineChars="200"/>
        <w:jc w:val="center"/>
        <w:rPr>
          <w:rFonts w:ascii="宋体" w:eastAsia="宋体" w:hAnsi="宋体" w:cs="宋体"/>
          <w:szCs w:val="21"/>
          <w:highlight w:val="none"/>
        </w:rPr>
      </w:pPr>
      <w:r>
        <w:rPr>
          <w:rFonts w:ascii="宋体" w:eastAsia="宋体" w:hAnsi="宋体" w:cs="宋体" w:hint="eastAsia"/>
          <w:b/>
          <w:bCs/>
          <w:szCs w:val="21"/>
          <w:highlight w:val="none"/>
        </w:rPr>
        <w:t>表6-1  5G各频段典型站距统计表</w:t>
      </w:r>
    </w:p>
    <w:tbl>
      <w:tblPr>
        <w:tblStyle w:val="TableNormal"/>
        <w:tblW w:w="9635" w:type="dxa"/>
        <w:jc w:val="center"/>
        <w:tblLayout w:type="fixed"/>
        <w:tblCellMar>
          <w:top w:w="0" w:type="dxa"/>
          <w:left w:w="108" w:type="dxa"/>
          <w:bottom w:w="0" w:type="dxa"/>
          <w:right w:w="108" w:type="dxa"/>
        </w:tblCellMar>
      </w:tblPr>
      <w:tblGrid>
        <w:gridCol w:w="1080"/>
        <w:gridCol w:w="2540"/>
        <w:gridCol w:w="2080"/>
        <w:gridCol w:w="1120"/>
        <w:gridCol w:w="1334"/>
        <w:gridCol w:w="1481"/>
      </w:tblGrid>
      <w:tr>
        <w:tblPrEx>
          <w:tblW w:w="9635" w:type="dxa"/>
          <w:jc w:val="center"/>
          <w:tblLayout w:type="fixed"/>
          <w:tblCellMar>
            <w:top w:w="0" w:type="dxa"/>
            <w:left w:w="108" w:type="dxa"/>
            <w:bottom w:w="0" w:type="dxa"/>
            <w:right w:w="108" w:type="dxa"/>
          </w:tblCellMar>
        </w:tblPrEx>
        <w:trPr>
          <w:trHeight w:val="270"/>
          <w:tblHeader/>
          <w:jc w:val="center"/>
        </w:trPr>
        <w:tc>
          <w:tcPr>
            <w:tcW w:w="10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pPr>
              <w:widowControl/>
              <w:spacing w:line="360" w:lineRule="auto"/>
              <w:jc w:val="center"/>
              <w:rPr>
                <w:rFonts w:ascii="宋体" w:eastAsia="宋体" w:hAnsi="宋体" w:cs="宋体"/>
                <w:b/>
                <w:bCs/>
                <w:kern w:val="0"/>
                <w:szCs w:val="21"/>
                <w:highlight w:val="none"/>
              </w:rPr>
            </w:pPr>
            <w:r>
              <w:rPr>
                <w:rFonts w:ascii="宋体" w:eastAsia="宋体" w:hAnsi="宋体" w:cs="宋体" w:hint="eastAsia"/>
                <w:b/>
                <w:kern w:val="0"/>
                <w:szCs w:val="21"/>
                <w:highlight w:val="none"/>
              </w:rPr>
              <w:t>运营商</w:t>
            </w:r>
          </w:p>
        </w:tc>
        <w:tc>
          <w:tcPr>
            <w:tcW w:w="254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pPr>
              <w:widowControl/>
              <w:spacing w:line="360"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频段</w:t>
            </w:r>
          </w:p>
        </w:tc>
        <w:tc>
          <w:tcPr>
            <w:tcW w:w="20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pPr>
              <w:widowControl/>
              <w:spacing w:line="360"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网络制式</w:t>
            </w:r>
          </w:p>
        </w:tc>
        <w:tc>
          <w:tcPr>
            <w:tcW w:w="3935" w:type="dxa"/>
            <w:gridSpan w:val="3"/>
            <w:tcBorders>
              <w:top w:val="single" w:sz="4" w:space="0" w:color="auto"/>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b/>
                <w:kern w:val="0"/>
                <w:szCs w:val="21"/>
                <w:highlight w:val="none"/>
              </w:rPr>
            </w:pPr>
            <w:r>
              <w:rPr>
                <w:rFonts w:ascii="宋体" w:eastAsia="宋体" w:hAnsi="宋体" w:cs="宋体" w:hint="eastAsia"/>
                <w:b/>
                <w:kern w:val="0"/>
                <w:szCs w:val="21"/>
                <w:highlight w:val="none"/>
              </w:rPr>
              <w:t>典型站距</w:t>
            </w:r>
          </w:p>
        </w:tc>
      </w:tr>
      <w:tr>
        <w:tblPrEx>
          <w:tblW w:w="9635" w:type="dxa"/>
          <w:jc w:val="center"/>
          <w:tblLayout w:type="fixed"/>
          <w:tblCellMar>
            <w:top w:w="0" w:type="dxa"/>
            <w:left w:w="108" w:type="dxa"/>
            <w:bottom w:w="0" w:type="dxa"/>
            <w:right w:w="108" w:type="dxa"/>
          </w:tblCellMar>
        </w:tblPrEx>
        <w:trPr>
          <w:trHeight w:val="480"/>
          <w:tblHeader/>
          <w:jc w:val="center"/>
        </w:trPr>
        <w:tc>
          <w:tcPr>
            <w:tcW w:w="1080" w:type="dxa"/>
            <w:vMerge/>
            <w:tcBorders>
              <w:top w:val="single" w:sz="4" w:space="0" w:color="auto"/>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b/>
                <w:bCs/>
                <w:kern w:val="0"/>
                <w:szCs w:val="21"/>
                <w:highlight w:val="none"/>
              </w:rPr>
            </w:pPr>
          </w:p>
        </w:tc>
        <w:tc>
          <w:tcPr>
            <w:tcW w:w="2540" w:type="dxa"/>
            <w:vMerge/>
            <w:tcBorders>
              <w:top w:val="single" w:sz="4" w:space="0" w:color="auto"/>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b/>
                <w:bCs/>
                <w:kern w:val="0"/>
                <w:szCs w:val="21"/>
                <w:highlight w:val="none"/>
              </w:rPr>
            </w:pPr>
          </w:p>
        </w:tc>
        <w:tc>
          <w:tcPr>
            <w:tcW w:w="2080" w:type="dxa"/>
            <w:vMerge/>
            <w:tcBorders>
              <w:top w:val="single" w:sz="4" w:space="0" w:color="auto"/>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b/>
                <w:bCs/>
                <w:kern w:val="0"/>
                <w:szCs w:val="21"/>
                <w:highlight w:val="none"/>
              </w:rPr>
            </w:pPr>
          </w:p>
        </w:tc>
        <w:tc>
          <w:tcPr>
            <w:tcW w:w="112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b/>
                <w:kern w:val="0"/>
                <w:szCs w:val="21"/>
                <w:highlight w:val="none"/>
              </w:rPr>
            </w:pPr>
            <w:r>
              <w:rPr>
                <w:rFonts w:ascii="宋体" w:eastAsia="宋体" w:hAnsi="宋体" w:cs="宋体" w:hint="eastAsia"/>
                <w:b/>
                <w:kern w:val="0"/>
                <w:szCs w:val="21"/>
                <w:highlight w:val="none"/>
              </w:rPr>
              <w:t>县城城区</w:t>
            </w:r>
          </w:p>
        </w:tc>
        <w:tc>
          <w:tcPr>
            <w:tcW w:w="1334"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b/>
                <w:kern w:val="0"/>
                <w:szCs w:val="21"/>
                <w:highlight w:val="none"/>
              </w:rPr>
            </w:pPr>
            <w:r>
              <w:rPr>
                <w:rFonts w:ascii="宋体" w:eastAsia="宋体" w:hAnsi="宋体" w:cs="宋体" w:hint="eastAsia"/>
                <w:b/>
                <w:kern w:val="0"/>
                <w:szCs w:val="21"/>
                <w:highlight w:val="none"/>
              </w:rPr>
              <w:t>郊区镇区</w:t>
            </w:r>
          </w:p>
        </w:tc>
        <w:tc>
          <w:tcPr>
            <w:tcW w:w="1481"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b/>
                <w:kern w:val="0"/>
                <w:szCs w:val="21"/>
                <w:highlight w:val="none"/>
              </w:rPr>
            </w:pPr>
            <w:r>
              <w:rPr>
                <w:rFonts w:ascii="宋体" w:eastAsia="宋体" w:hAnsi="宋体" w:cs="宋体" w:hint="eastAsia"/>
                <w:b/>
                <w:kern w:val="0"/>
                <w:szCs w:val="21"/>
                <w:highlight w:val="none"/>
              </w:rPr>
              <w:t>农村</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val="restart"/>
            <w:tcBorders>
              <w:top w:val="nil"/>
              <w:left w:val="single" w:sz="4" w:space="0" w:color="auto"/>
              <w:bottom w:val="single" w:sz="4" w:space="0" w:color="000000"/>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 xml:space="preserve">中国电信 </w:t>
            </w: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850MHz（Band5）</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2G/3G/4G/NB-IoT</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700~750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1000~1200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1500~3000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1800MHz(Band3）</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700~1100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1200~2200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2.1GHz（Band1，n1）</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4G/5G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700~1100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1200~2200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3.5GHz（n78）</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350~450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600~900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1000~1400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val="restart"/>
            <w:tcBorders>
              <w:top w:val="nil"/>
              <w:left w:val="single" w:sz="4" w:space="0" w:color="auto"/>
              <w:bottom w:val="single" w:sz="4" w:space="0" w:color="000000"/>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中国联通</w:t>
            </w: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900MHz（Band8）</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2G/NB-IoT/3G/4G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700~750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1000~1200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1500~3000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1800MHz(Band3）</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2G/4G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700~1100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1200~2200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2.1GHz（Band1，n1）</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3G/4G/5G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700~1100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1200~2200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2.3GHz(Band40)</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450~500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650~1000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1000~1800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000000"/>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3.5GHz（n78）</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350~450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600~900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1000~1400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val="restart"/>
            <w:tcBorders>
              <w:top w:val="nil"/>
              <w:left w:val="single" w:sz="4" w:space="0" w:color="auto"/>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中国移动</w:t>
            </w: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700MHz（n28）</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700~750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1000~1200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1500~3000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auto"/>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900MHz（Band8）</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2G/NB-IoT/4G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700~750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1000~1200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1500~3000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auto"/>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1800MHz(Band3）</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2G/4G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700~1100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1200~2200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auto"/>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2GHz（Band34）</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3G/4G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700~1100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1200~2200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auto"/>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1.9GHz（Band39</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700~1100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1200~2200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auto"/>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2.3GHz(Band40)</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450~500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650~1000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1000~1800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auto"/>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2.6GHz（Band41,n41）</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4G/5G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550~650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1000~1400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1600~2100</w:t>
            </w:r>
          </w:p>
        </w:tc>
      </w:tr>
      <w:tr>
        <w:tblPrEx>
          <w:tblW w:w="9635" w:type="dxa"/>
          <w:jc w:val="center"/>
          <w:tblLayout w:type="fixed"/>
          <w:tblCellMar>
            <w:top w:w="0" w:type="dxa"/>
            <w:left w:w="108" w:type="dxa"/>
            <w:bottom w:w="0" w:type="dxa"/>
            <w:right w:w="108" w:type="dxa"/>
          </w:tblCellMar>
        </w:tblPrEx>
        <w:trPr>
          <w:trHeight w:val="270"/>
          <w:jc w:val="center"/>
        </w:trPr>
        <w:tc>
          <w:tcPr>
            <w:tcW w:w="1080" w:type="dxa"/>
            <w:vMerge/>
            <w:tcBorders>
              <w:top w:val="nil"/>
              <w:left w:val="single" w:sz="4" w:space="0" w:color="auto"/>
              <w:bottom w:val="single" w:sz="4" w:space="0" w:color="auto"/>
              <w:right w:val="single" w:sz="4" w:space="0" w:color="auto"/>
            </w:tcBorders>
            <w:vAlign w:val="center"/>
          </w:tcPr>
          <w:p>
            <w:pPr>
              <w:widowControl/>
              <w:spacing w:line="360" w:lineRule="auto"/>
              <w:jc w:val="left"/>
              <w:rPr>
                <w:rFonts w:ascii="宋体" w:eastAsia="宋体" w:hAnsi="宋体" w:cs="宋体"/>
                <w:kern w:val="0"/>
                <w:szCs w:val="21"/>
                <w:highlight w:val="none"/>
              </w:rPr>
            </w:pP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4.9GHz(n79)</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300~400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500~600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800~1000</w:t>
            </w:r>
          </w:p>
        </w:tc>
      </w:tr>
      <w:tr>
        <w:tblPrEx>
          <w:tblW w:w="9635" w:type="dxa"/>
          <w:jc w:val="center"/>
          <w:tblLayout w:type="fixed"/>
          <w:tblCellMar>
            <w:top w:w="0" w:type="dxa"/>
            <w:left w:w="108" w:type="dxa"/>
            <w:bottom w:w="0" w:type="dxa"/>
            <w:right w:w="108" w:type="dxa"/>
          </w:tblCellMar>
        </w:tblPrEx>
        <w:trPr>
          <w:trHeight w:val="285"/>
          <w:jc w:val="center"/>
        </w:trPr>
        <w:tc>
          <w:tcPr>
            <w:tcW w:w="1080" w:type="dxa"/>
            <w:tcBorders>
              <w:top w:val="nil"/>
              <w:left w:val="single" w:sz="4" w:space="0" w:color="auto"/>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中国广电</w:t>
            </w:r>
          </w:p>
        </w:tc>
        <w:tc>
          <w:tcPr>
            <w:tcW w:w="254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700MHz（n28）</w:t>
            </w:r>
          </w:p>
        </w:tc>
        <w:tc>
          <w:tcPr>
            <w:tcW w:w="2080" w:type="dxa"/>
            <w:tcBorders>
              <w:top w:val="nil"/>
              <w:left w:val="nil"/>
              <w:bottom w:val="single" w:sz="4" w:space="0" w:color="auto"/>
              <w:right w:val="single" w:sz="4" w:space="0" w:color="auto"/>
            </w:tcBorders>
            <w:shd w:val="clear" w:color="auto" w:fill="auto"/>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5G</w:t>
            </w:r>
          </w:p>
        </w:tc>
        <w:tc>
          <w:tcPr>
            <w:tcW w:w="1120"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700~750</w:t>
            </w:r>
          </w:p>
        </w:tc>
        <w:tc>
          <w:tcPr>
            <w:tcW w:w="1334"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1000~1200</w:t>
            </w:r>
          </w:p>
        </w:tc>
        <w:tc>
          <w:tcPr>
            <w:tcW w:w="1481" w:type="dxa"/>
            <w:tcBorders>
              <w:top w:val="nil"/>
              <w:left w:val="nil"/>
              <w:bottom w:val="single" w:sz="4" w:space="0" w:color="auto"/>
              <w:right w:val="single" w:sz="4" w:space="0" w:color="auto"/>
            </w:tcBorders>
            <w:shd w:val="clear" w:color="auto" w:fill="auto"/>
            <w:noWrap/>
            <w:vAlign w:val="bottom"/>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1500~3000</w:t>
            </w:r>
          </w:p>
        </w:tc>
      </w:tr>
    </w:tbl>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当场景内存量站址不满足5G覆盖站间距要求时，应积极获取当地社会资源，根据5G站址布局原则进行新建站规划。不同应用场景类型和业务需求下的参考站间距如下：</w:t>
      </w:r>
    </w:p>
    <w:p>
      <w:pPr>
        <w:widowControl/>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表6-2  5G不同应用场景及业务需求典型站间距统计表</w:t>
      </w:r>
    </w:p>
    <w:tbl>
      <w:tblPr>
        <w:tblStyle w:val="TableNormal"/>
        <w:tblW w:w="4675"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
      <w:tblGrid>
        <w:gridCol w:w="2177"/>
        <w:gridCol w:w="1939"/>
        <w:gridCol w:w="3523"/>
        <w:gridCol w:w="1752"/>
      </w:tblGrid>
      <w:tr>
        <w:tblPrEx>
          <w:tblW w:w="4675"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Ex>
        <w:trPr>
          <w:tblHeader/>
          <w:jc w:val="center"/>
        </w:trPr>
        <w:tc>
          <w:tcPr>
            <w:tcW w:w="1159" w:type="pct"/>
            <w:tcMar>
              <w:top w:w="17" w:type="dxa"/>
              <w:left w:w="17" w:type="dxa"/>
              <w:right w:w="17" w:type="dxa"/>
            </w:tcMar>
            <w:vAlign w:val="center"/>
          </w:tcPr>
          <w:p>
            <w:pPr>
              <w:widowControl/>
              <w:spacing w:line="360"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网格类型</w:t>
            </w:r>
          </w:p>
        </w:tc>
        <w:tc>
          <w:tcPr>
            <w:tcW w:w="1032" w:type="pct"/>
            <w:vAlign w:val="center"/>
          </w:tcPr>
          <w:p>
            <w:pPr>
              <w:widowControl/>
              <w:spacing w:line="360"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主要应用</w:t>
            </w:r>
          </w:p>
        </w:tc>
        <w:tc>
          <w:tcPr>
            <w:tcW w:w="1875" w:type="pct"/>
            <w:vAlign w:val="center"/>
          </w:tcPr>
          <w:p>
            <w:pPr>
              <w:widowControl/>
              <w:spacing w:line="360"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主要业务需求</w:t>
            </w:r>
          </w:p>
        </w:tc>
        <w:tc>
          <w:tcPr>
            <w:tcW w:w="932" w:type="pct"/>
            <w:vAlign w:val="center"/>
          </w:tcPr>
          <w:p>
            <w:pPr>
              <w:widowControl/>
              <w:spacing w:line="360"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站间距（米）</w:t>
            </w:r>
          </w:p>
        </w:tc>
      </w:tr>
      <w:tr>
        <w:tblPrEx>
          <w:tblW w:w="4675" w:type="pct"/>
          <w:jc w:val="center"/>
          <w:tblCellMar>
            <w:top w:w="0" w:type="dxa"/>
            <w:left w:w="0" w:type="dxa"/>
            <w:bottom w:w="0" w:type="dxa"/>
            <w:right w:w="0" w:type="dxa"/>
          </w:tblCellMar>
        </w:tblPrEx>
        <w:trPr>
          <w:jc w:val="center"/>
        </w:trPr>
        <w:tc>
          <w:tcPr>
            <w:tcW w:w="1159"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大型商业（务）区</w:t>
            </w:r>
          </w:p>
        </w:tc>
        <w:tc>
          <w:tcPr>
            <w:tcW w:w="1032" w:type="pct"/>
            <w:vMerge w:val="restar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增强移动宽带</w:t>
            </w:r>
          </w:p>
        </w:tc>
        <w:tc>
          <w:tcPr>
            <w:tcW w:w="1875" w:type="pct"/>
            <w:vMerge w:val="restar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基础数据业务、VR、超高清视频</w:t>
            </w:r>
          </w:p>
        </w:tc>
        <w:tc>
          <w:tcPr>
            <w:tcW w:w="9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250-300</w:t>
            </w:r>
          </w:p>
        </w:tc>
      </w:tr>
      <w:tr>
        <w:tblPrEx>
          <w:tblW w:w="4675" w:type="pct"/>
          <w:jc w:val="center"/>
          <w:tblCellMar>
            <w:top w:w="0" w:type="dxa"/>
            <w:left w:w="0" w:type="dxa"/>
            <w:bottom w:w="0" w:type="dxa"/>
            <w:right w:w="0" w:type="dxa"/>
          </w:tblCellMar>
        </w:tblPrEx>
        <w:trPr>
          <w:jc w:val="center"/>
        </w:trPr>
        <w:tc>
          <w:tcPr>
            <w:tcW w:w="1159"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大型景区</w:t>
            </w:r>
          </w:p>
        </w:tc>
        <w:tc>
          <w:tcPr>
            <w:tcW w:w="1032" w:type="pct"/>
            <w:vMerge/>
            <w:vAlign w:val="center"/>
          </w:tcPr>
          <w:p>
            <w:pPr>
              <w:widowControl/>
              <w:spacing w:line="360" w:lineRule="auto"/>
              <w:jc w:val="center"/>
              <w:rPr>
                <w:rFonts w:ascii="宋体" w:eastAsia="宋体" w:hAnsi="宋体" w:cs="宋体"/>
                <w:kern w:val="0"/>
                <w:szCs w:val="21"/>
                <w:highlight w:val="none"/>
              </w:rPr>
            </w:pPr>
          </w:p>
        </w:tc>
        <w:tc>
          <w:tcPr>
            <w:tcW w:w="1875" w:type="pct"/>
            <w:vMerge/>
            <w:vAlign w:val="center"/>
          </w:tcPr>
          <w:p>
            <w:pPr>
              <w:widowControl/>
              <w:spacing w:line="360" w:lineRule="auto"/>
              <w:jc w:val="center"/>
              <w:rPr>
                <w:rFonts w:ascii="宋体" w:eastAsia="宋体" w:hAnsi="宋体" w:cs="宋体"/>
                <w:kern w:val="0"/>
                <w:szCs w:val="21"/>
                <w:highlight w:val="none"/>
              </w:rPr>
            </w:pPr>
          </w:p>
        </w:tc>
        <w:tc>
          <w:tcPr>
            <w:tcW w:w="9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300-400</w:t>
            </w:r>
          </w:p>
        </w:tc>
      </w:tr>
      <w:tr>
        <w:tblPrEx>
          <w:tblW w:w="4675" w:type="pct"/>
          <w:jc w:val="center"/>
          <w:tblCellMar>
            <w:top w:w="0" w:type="dxa"/>
            <w:left w:w="0" w:type="dxa"/>
            <w:bottom w:w="0" w:type="dxa"/>
            <w:right w:w="0" w:type="dxa"/>
          </w:tblCellMar>
        </w:tblPrEx>
        <w:trPr>
          <w:jc w:val="center"/>
        </w:trPr>
        <w:tc>
          <w:tcPr>
            <w:tcW w:w="1159"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开发区（工业园）</w:t>
            </w:r>
          </w:p>
        </w:tc>
        <w:tc>
          <w:tcPr>
            <w:tcW w:w="10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海量机器类通信</w:t>
            </w:r>
          </w:p>
        </w:tc>
        <w:tc>
          <w:tcPr>
            <w:tcW w:w="1875"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智能监控</w:t>
            </w:r>
          </w:p>
        </w:tc>
        <w:tc>
          <w:tcPr>
            <w:tcW w:w="9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350-450</w:t>
            </w:r>
          </w:p>
        </w:tc>
      </w:tr>
      <w:tr>
        <w:tblPrEx>
          <w:tblW w:w="4675" w:type="pct"/>
          <w:jc w:val="center"/>
          <w:tblCellMar>
            <w:top w:w="0" w:type="dxa"/>
            <w:left w:w="0" w:type="dxa"/>
            <w:bottom w:w="0" w:type="dxa"/>
            <w:right w:w="0" w:type="dxa"/>
          </w:tblCellMar>
        </w:tblPrEx>
        <w:trPr>
          <w:jc w:val="center"/>
        </w:trPr>
        <w:tc>
          <w:tcPr>
            <w:tcW w:w="1159"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大学城（大型校园）</w:t>
            </w:r>
          </w:p>
        </w:tc>
        <w:tc>
          <w:tcPr>
            <w:tcW w:w="10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增强移动宽带</w:t>
            </w:r>
          </w:p>
        </w:tc>
        <w:tc>
          <w:tcPr>
            <w:tcW w:w="1875"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基础数据业务、VR、超高清视频</w:t>
            </w:r>
          </w:p>
        </w:tc>
        <w:tc>
          <w:tcPr>
            <w:tcW w:w="9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250-300</w:t>
            </w:r>
          </w:p>
        </w:tc>
      </w:tr>
      <w:tr>
        <w:tblPrEx>
          <w:tblW w:w="4675" w:type="pct"/>
          <w:jc w:val="center"/>
          <w:tblCellMar>
            <w:top w:w="0" w:type="dxa"/>
            <w:left w:w="0" w:type="dxa"/>
            <w:bottom w:w="0" w:type="dxa"/>
            <w:right w:w="0" w:type="dxa"/>
          </w:tblCellMar>
        </w:tblPrEx>
        <w:trPr>
          <w:jc w:val="center"/>
        </w:trPr>
        <w:tc>
          <w:tcPr>
            <w:tcW w:w="1159" w:type="pct"/>
            <w:vMerge w:val="restar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一般社区</w:t>
            </w:r>
          </w:p>
        </w:tc>
        <w:tc>
          <w:tcPr>
            <w:tcW w:w="10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海量机器类通信</w:t>
            </w:r>
          </w:p>
        </w:tc>
        <w:tc>
          <w:tcPr>
            <w:tcW w:w="1875" w:type="pct"/>
            <w:vMerge w:val="restar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智能抄表、智能停车、监控类</w:t>
            </w:r>
          </w:p>
        </w:tc>
        <w:tc>
          <w:tcPr>
            <w:tcW w:w="932" w:type="pct"/>
            <w:vMerge w:val="restar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300-400</w:t>
            </w:r>
          </w:p>
        </w:tc>
      </w:tr>
      <w:tr>
        <w:tblPrEx>
          <w:tblW w:w="4675" w:type="pct"/>
          <w:jc w:val="center"/>
          <w:tblCellMar>
            <w:top w:w="0" w:type="dxa"/>
            <w:left w:w="0" w:type="dxa"/>
            <w:bottom w:w="0" w:type="dxa"/>
            <w:right w:w="0" w:type="dxa"/>
          </w:tblCellMar>
        </w:tblPrEx>
        <w:trPr>
          <w:jc w:val="center"/>
        </w:trPr>
        <w:tc>
          <w:tcPr>
            <w:tcW w:w="1159" w:type="pct"/>
            <w:vMerge/>
            <w:vAlign w:val="center"/>
          </w:tcPr>
          <w:p>
            <w:pPr>
              <w:widowControl/>
              <w:spacing w:line="360" w:lineRule="auto"/>
              <w:rPr>
                <w:rFonts w:ascii="宋体" w:eastAsia="宋体" w:hAnsi="宋体" w:cs="宋体"/>
                <w:szCs w:val="21"/>
                <w:highlight w:val="none"/>
              </w:rPr>
            </w:pPr>
          </w:p>
        </w:tc>
        <w:tc>
          <w:tcPr>
            <w:tcW w:w="1032" w:type="pct"/>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高可靠、低时延</w:t>
            </w:r>
          </w:p>
        </w:tc>
        <w:tc>
          <w:tcPr>
            <w:tcW w:w="1875" w:type="pct"/>
            <w:vMerge/>
            <w:vAlign w:val="center"/>
          </w:tcPr>
          <w:p>
            <w:pPr>
              <w:widowControl/>
              <w:spacing w:line="360" w:lineRule="auto"/>
              <w:jc w:val="center"/>
              <w:rPr>
                <w:rFonts w:ascii="宋体" w:eastAsia="宋体" w:hAnsi="宋体" w:cs="宋体"/>
                <w:kern w:val="0"/>
                <w:szCs w:val="21"/>
                <w:highlight w:val="none"/>
              </w:rPr>
            </w:pPr>
          </w:p>
        </w:tc>
        <w:tc>
          <w:tcPr>
            <w:tcW w:w="932" w:type="pct"/>
            <w:vMerge/>
            <w:vAlign w:val="center"/>
          </w:tcPr>
          <w:p>
            <w:pPr>
              <w:widowControl/>
              <w:spacing w:line="360" w:lineRule="auto"/>
              <w:rPr>
                <w:rFonts w:ascii="宋体" w:eastAsia="宋体" w:hAnsi="宋体" w:cs="宋体"/>
                <w:szCs w:val="21"/>
                <w:highlight w:val="none"/>
              </w:rPr>
            </w:pPr>
          </w:p>
        </w:tc>
      </w:tr>
    </w:tbl>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结合上述规划原则和规划方法，充分考虑5G网络异构化组网的特征，基站站址形态逐渐由“高、大、远、疏”的传统模式转变为“低、小、近、密”的综合覆盖模式，形成存量宏站为骨架、道路杆塔为脉络、微型杆塔为拓展的5G城区站址资源库。</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以宏站为骨架：在满足无线覆盖要求的前提下，实行总量控制制度，按照宏基站密度分区与覆盖范围合理选择站址，实现目标区域的有效覆盖。基站设置要满足城市规划控制与引导要求，选址、结构、塔高等应与周边建筑、空间环境相协调。</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以道路杆塔为脉络：原则上铁塔选型以美化路灯杆为主，监控杆、广告牌、公交站台等社会杆塔资源为辅。结合站址布局情况，美化路灯杆优先部署于城市主干道旁，监控杆主要部署于站距密集、街道狭窄的城市道路旁。</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以微型杆塔为拓展：充分考虑密集城区人口、建筑物分布及业务特征，灵活采用楼面抱杆安装、地面杆塔安装、建筑壁挂安装及室内分布覆盖等覆盖方式进行5G网络的拓展覆盖。对于区县老城区，除城市主干道外，优先考虑使用监控杆来解决城市深度覆盖的站址需求。</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4、密度分区与设置标准如下：</w:t>
      </w:r>
    </w:p>
    <w:p>
      <w:pPr>
        <w:widowControl/>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表6-3  各类分区站间距布局原则一览表</w:t>
      </w:r>
    </w:p>
    <w:tbl>
      <w:tblPr>
        <w:tblStyle w:val="TableNormal"/>
        <w:tblW w:w="4576"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
      <w:tblGrid>
        <w:gridCol w:w="683"/>
        <w:gridCol w:w="1117"/>
        <w:gridCol w:w="3508"/>
        <w:gridCol w:w="1535"/>
        <w:gridCol w:w="2349"/>
      </w:tblGrid>
      <w:tr>
        <w:tblPrEx>
          <w:tblW w:w="4576"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Ex>
        <w:trPr>
          <w:tblHeader/>
          <w:jc w:val="center"/>
        </w:trPr>
        <w:tc>
          <w:tcPr>
            <w:tcW w:w="0" w:type="auto"/>
            <w:gridSpan w:val="2"/>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密度分区</w:t>
            </w: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主要用地功能</w:t>
            </w:r>
          </w:p>
        </w:tc>
        <w:tc>
          <w:tcPr>
            <w:tcW w:w="835" w:type="pc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基站设置密度（平方公里/座）</w:t>
            </w:r>
          </w:p>
        </w:tc>
        <w:tc>
          <w:tcPr>
            <w:tcW w:w="1277" w:type="pc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基站站间距（m）</w:t>
            </w:r>
          </w:p>
        </w:tc>
      </w:tr>
      <w:tr>
        <w:tblPrEx>
          <w:tblW w:w="4576" w:type="pct"/>
          <w:jc w:val="center"/>
          <w:tblCellMar>
            <w:top w:w="0" w:type="dxa"/>
            <w:left w:w="0" w:type="dxa"/>
            <w:bottom w:w="0" w:type="dxa"/>
            <w:right w:w="0" w:type="dxa"/>
          </w:tblCellMar>
        </w:tblPrEx>
        <w:trPr>
          <w:jc w:val="center"/>
        </w:trPr>
        <w:tc>
          <w:tcPr>
            <w:tcW w:w="0" w:type="auto"/>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宏基站</w:t>
            </w:r>
          </w:p>
        </w:tc>
        <w:tc>
          <w:tcPr>
            <w:tcW w:w="0" w:type="auto"/>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密集区</w:t>
            </w: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公共管理与公共服务用地</w:t>
            </w:r>
          </w:p>
        </w:tc>
        <w:tc>
          <w:tcPr>
            <w:tcW w:w="835"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15</w:t>
            </w:r>
          </w:p>
        </w:tc>
        <w:tc>
          <w:tcPr>
            <w:tcW w:w="1277"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150-250</w:t>
            </w: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市级、区级商业服务业设施用地</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客运交通枢纽</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中密集区</w:t>
            </w: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居住用地</w:t>
            </w:r>
          </w:p>
        </w:tc>
        <w:tc>
          <w:tcPr>
            <w:tcW w:w="835"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10</w:t>
            </w:r>
          </w:p>
        </w:tc>
        <w:tc>
          <w:tcPr>
            <w:tcW w:w="1277"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250-350</w:t>
            </w: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市级、区级公园绿地、大型游乐用地</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一般密集区</w:t>
            </w: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工业用地</w:t>
            </w:r>
          </w:p>
        </w:tc>
        <w:tc>
          <w:tcPr>
            <w:tcW w:w="835"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6</w:t>
            </w:r>
          </w:p>
        </w:tc>
        <w:tc>
          <w:tcPr>
            <w:tcW w:w="1277"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350-450</w:t>
            </w: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货运交通枢纽</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物流仓储用地</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公用设施用地</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小型街头绿地、防护绿地</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边缘区</w:t>
            </w: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农业及生态结构用地</w:t>
            </w:r>
          </w:p>
        </w:tc>
        <w:tc>
          <w:tcPr>
            <w:tcW w:w="835"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4</w:t>
            </w:r>
          </w:p>
        </w:tc>
        <w:tc>
          <w:tcPr>
            <w:tcW w:w="1277"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450-650</w:t>
            </w: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特殊区</w:t>
            </w: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机场</w:t>
            </w:r>
          </w:p>
        </w:tc>
        <w:tc>
          <w:tcPr>
            <w:tcW w:w="835"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w:t>
            </w:r>
          </w:p>
        </w:tc>
        <w:tc>
          <w:tcPr>
            <w:tcW w:w="1277"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结合实际情况确定</w:t>
            </w:r>
          </w:p>
        </w:tc>
      </w:tr>
      <w:tr>
        <w:tblPrEx>
          <w:tblW w:w="4576" w:type="pct"/>
          <w:jc w:val="center"/>
          <w:tblCellMar>
            <w:top w:w="0" w:type="dxa"/>
            <w:left w:w="0" w:type="dxa"/>
            <w:bottom w:w="0" w:type="dxa"/>
            <w:right w:w="0" w:type="dxa"/>
          </w:tblCellMar>
        </w:tblPrEx>
        <w:trPr>
          <w:jc w:val="center"/>
        </w:trPr>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历史文化名城核心保护区</w:t>
            </w:r>
          </w:p>
        </w:tc>
        <w:tc>
          <w:tcPr>
            <w:tcW w:w="835"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1277" w:type="pct"/>
            <w:vMerge/>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r>
      <w:tr>
        <w:tblPrEx>
          <w:tblW w:w="4576" w:type="pct"/>
          <w:jc w:val="center"/>
          <w:tblCellMar>
            <w:top w:w="0" w:type="dxa"/>
            <w:left w:w="0" w:type="dxa"/>
            <w:bottom w:w="0" w:type="dxa"/>
            <w:right w:w="0" w:type="dxa"/>
          </w:tblCellMar>
        </w:tblPrEx>
        <w:trPr>
          <w:jc w:val="center"/>
        </w:trPr>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微基站</w:t>
            </w: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p>
        </w:tc>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结合实际需求确定</w:t>
            </w:r>
          </w:p>
        </w:tc>
        <w:tc>
          <w:tcPr>
            <w:tcW w:w="835"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w:t>
            </w:r>
          </w:p>
        </w:tc>
        <w:tc>
          <w:tcPr>
            <w:tcW w:w="1277"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100-200</w:t>
            </w:r>
          </w:p>
        </w:tc>
      </w:tr>
    </w:tbl>
    <w:p>
      <w:pPr>
        <w:widowControl/>
        <w:spacing w:line="360" w:lineRule="auto"/>
        <w:ind w:firstLine="420" w:firstLineChars="200"/>
        <w:rPr>
          <w:rFonts w:ascii="宋体" w:eastAsia="宋体" w:hAnsi="宋体" w:cs="宋体"/>
          <w:sz w:val="22"/>
          <w:szCs w:val="24"/>
          <w:highlight w:val="none"/>
        </w:rPr>
      </w:pPr>
      <w:r>
        <w:rPr>
          <w:rFonts w:ascii="宋体" w:eastAsia="宋体" w:hAnsi="宋体" w:cs="宋体" w:hint="eastAsia"/>
          <w:sz w:val="22"/>
          <w:szCs w:val="24"/>
          <w:highlight w:val="none"/>
        </w:rPr>
        <w:t>注：（1）改建及新建地块需要优先落实基站建设。</w:t>
      </w:r>
    </w:p>
    <w:p>
      <w:pPr>
        <w:widowControl/>
        <w:spacing w:line="360" w:lineRule="auto"/>
        <w:ind w:firstLine="840" w:firstLineChars="400"/>
        <w:rPr>
          <w:rFonts w:ascii="宋体" w:eastAsia="宋体" w:hAnsi="宋体" w:cs="宋体"/>
          <w:sz w:val="22"/>
          <w:szCs w:val="24"/>
          <w:highlight w:val="none"/>
        </w:rPr>
      </w:pPr>
      <w:r>
        <w:rPr>
          <w:rFonts w:ascii="宋体" w:eastAsia="宋体" w:hAnsi="宋体" w:cs="宋体" w:hint="eastAsia"/>
          <w:sz w:val="22"/>
          <w:szCs w:val="24"/>
          <w:highlight w:val="none"/>
        </w:rPr>
        <w:t>（2）涉及现状改造地块应按照上表标准进行优化布点。</w:t>
      </w:r>
    </w:p>
    <w:p>
      <w:pPr>
        <w:widowControl/>
        <w:spacing w:line="360" w:lineRule="auto"/>
        <w:ind w:firstLine="840" w:firstLineChars="400"/>
        <w:rPr>
          <w:rFonts w:ascii="宋体" w:eastAsia="宋体" w:hAnsi="宋体" w:cs="宋体"/>
          <w:sz w:val="22"/>
          <w:szCs w:val="24"/>
          <w:highlight w:val="none"/>
        </w:rPr>
      </w:pPr>
      <w:r>
        <w:rPr>
          <w:rFonts w:ascii="宋体" w:eastAsia="宋体" w:hAnsi="宋体" w:cs="宋体" w:hint="eastAsia"/>
          <w:sz w:val="22"/>
          <w:szCs w:val="24"/>
          <w:highlight w:val="none"/>
        </w:rPr>
        <w:t>（3）规划站间距具体值建议结合地块开发强度进行选择。</w:t>
      </w:r>
    </w:p>
    <w:p>
      <w:pPr>
        <w:widowControl/>
        <w:spacing w:line="360" w:lineRule="auto"/>
        <w:ind w:firstLine="840" w:firstLineChars="400"/>
        <w:rPr>
          <w:rFonts w:ascii="宋体" w:eastAsia="宋体" w:hAnsi="宋体" w:cs="宋体"/>
          <w:sz w:val="22"/>
          <w:szCs w:val="24"/>
          <w:highlight w:val="none"/>
        </w:rPr>
      </w:pPr>
      <w:r>
        <w:rPr>
          <w:rFonts w:ascii="宋体" w:eastAsia="宋体" w:hAnsi="宋体" w:cs="宋体" w:hint="eastAsia"/>
          <w:sz w:val="22"/>
          <w:szCs w:val="24"/>
          <w:highlight w:val="none"/>
        </w:rPr>
        <w:t>（4）特殊区内基站布局应与有关主管部门衔接，进行针对性布局。</w:t>
      </w:r>
    </w:p>
    <w:p>
      <w:pPr>
        <w:widowControl/>
        <w:spacing w:line="360" w:lineRule="auto"/>
        <w:ind w:firstLine="840" w:firstLineChars="400"/>
        <w:rPr>
          <w:rFonts w:ascii="宋体" w:eastAsia="宋体" w:hAnsi="宋体" w:cs="宋体"/>
          <w:sz w:val="22"/>
          <w:szCs w:val="24"/>
          <w:highlight w:val="none"/>
        </w:rPr>
      </w:pPr>
      <w:r>
        <w:rPr>
          <w:rFonts w:ascii="宋体" w:eastAsia="宋体" w:hAnsi="宋体" w:cs="宋体" w:hint="eastAsia"/>
          <w:sz w:val="22"/>
          <w:szCs w:val="24"/>
          <w:highlight w:val="none"/>
        </w:rPr>
        <w:t>（5）不得占用基本农田进行基站建设。</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5、规划管控分区</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本规划按照地块的用地性质、城市风貌、城市空间景观要求等条件，将规划区划分为三类管控分区。处于管控分区界线上的宏基站，原则上按上一级分区的控制要求进行建设。</w:t>
      </w:r>
    </w:p>
    <w:p>
      <w:pPr>
        <w:widowControl/>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表6-4 管控分区划分表</w:t>
      </w:r>
    </w:p>
    <w:tbl>
      <w:tblPr>
        <w:tblStyle w:val="TableNormal"/>
        <w:tblW w:w="4731"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
      <w:tblGrid>
        <w:gridCol w:w="1517"/>
        <w:gridCol w:w="7987"/>
      </w:tblGrid>
      <w:tr>
        <w:tblPrEx>
          <w:tblW w:w="4731"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Ex>
        <w:trPr>
          <w:jc w:val="center"/>
        </w:trPr>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管控类别</w:t>
            </w:r>
          </w:p>
        </w:tc>
        <w:tc>
          <w:tcPr>
            <w:tcW w:w="4202" w:type="pc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划分依据</w:t>
            </w:r>
          </w:p>
        </w:tc>
      </w:tr>
      <w:tr>
        <w:tblPrEx>
          <w:tblW w:w="4731" w:type="pct"/>
          <w:jc w:val="center"/>
          <w:tblCellMar>
            <w:top w:w="0" w:type="dxa"/>
            <w:left w:w="0" w:type="dxa"/>
            <w:bottom w:w="0" w:type="dxa"/>
            <w:right w:w="0" w:type="dxa"/>
          </w:tblCellMar>
        </w:tblPrEx>
        <w:trPr>
          <w:jc w:val="center"/>
        </w:trPr>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A类管控区域</w:t>
            </w:r>
          </w:p>
        </w:tc>
        <w:tc>
          <w:tcPr>
            <w:tcW w:w="4202"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市、区级商业中心区，市级政务中心，城市公园等空间风貌要求较高的区域</w:t>
            </w:r>
          </w:p>
        </w:tc>
      </w:tr>
      <w:tr>
        <w:tblPrEx>
          <w:tblW w:w="4731" w:type="pct"/>
          <w:jc w:val="center"/>
          <w:tblCellMar>
            <w:top w:w="0" w:type="dxa"/>
            <w:left w:w="0" w:type="dxa"/>
            <w:bottom w:w="0" w:type="dxa"/>
            <w:right w:w="0" w:type="dxa"/>
          </w:tblCellMar>
        </w:tblPrEx>
        <w:trPr>
          <w:jc w:val="center"/>
        </w:trPr>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B类管控区域</w:t>
            </w:r>
          </w:p>
        </w:tc>
        <w:tc>
          <w:tcPr>
            <w:tcW w:w="4202"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居住区、居住区级商业，区级行政办公等城市空间风貌要求一般的区域</w:t>
            </w:r>
          </w:p>
        </w:tc>
      </w:tr>
      <w:tr>
        <w:tblPrEx>
          <w:tblW w:w="4731" w:type="pct"/>
          <w:jc w:val="center"/>
          <w:tblCellMar>
            <w:top w:w="0" w:type="dxa"/>
            <w:left w:w="0" w:type="dxa"/>
            <w:bottom w:w="0" w:type="dxa"/>
            <w:right w:w="0" w:type="dxa"/>
          </w:tblCellMar>
        </w:tblPrEx>
        <w:trPr>
          <w:jc w:val="center"/>
        </w:trPr>
        <w:tc>
          <w:tcPr>
            <w:tcW w:w="0" w:type="auto"/>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C类管控区域</w:t>
            </w:r>
          </w:p>
        </w:tc>
        <w:tc>
          <w:tcPr>
            <w:tcW w:w="4202"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工业区、仓储物流区等城市空间风貌要求较低的区域</w:t>
            </w:r>
          </w:p>
        </w:tc>
      </w:tr>
    </w:tbl>
    <w:p>
      <w:pPr>
        <w:widowControl/>
        <w:spacing w:line="360" w:lineRule="auto"/>
        <w:ind w:firstLine="420" w:firstLineChars="200"/>
        <w:rPr>
          <w:rFonts w:ascii="宋体" w:eastAsia="宋体" w:hAnsi="宋体" w:cs="宋体"/>
          <w:sz w:val="24"/>
          <w:highlight w:val="none"/>
        </w:rPr>
      </w:pPr>
    </w:p>
    <w:p>
      <w:pPr>
        <w:widowControl/>
        <w:spacing w:line="360" w:lineRule="auto"/>
        <w:ind w:firstLine="420" w:firstLineChars="200"/>
        <w:jc w:val="center"/>
        <w:rPr>
          <w:rFonts w:ascii="宋体" w:eastAsia="宋体" w:hAnsi="宋体" w:cs="宋体"/>
          <w:b/>
          <w:bCs/>
          <w:szCs w:val="21"/>
          <w:highlight w:val="none"/>
        </w:rPr>
      </w:pPr>
    </w:p>
    <w:p>
      <w:pPr>
        <w:widowControl/>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表6-5 管控分区宏基站控制要素一览表</w:t>
      </w:r>
    </w:p>
    <w:tbl>
      <w:tblPr>
        <w:tblStyle w:val="TableNormal"/>
        <w:tblW w:w="5020"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
      <w:tblGrid>
        <w:gridCol w:w="988"/>
        <w:gridCol w:w="5899"/>
        <w:gridCol w:w="3197"/>
      </w:tblGrid>
      <w:tr>
        <w:tblPrEx>
          <w:tblW w:w="5020"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4" w:space="0" w:color="000000"/>
          </w:tblBorders>
          <w:tblCellMar>
            <w:top w:w="0" w:type="dxa"/>
            <w:left w:w="0" w:type="dxa"/>
            <w:bottom w:w="0" w:type="dxa"/>
            <w:right w:w="0" w:type="dxa"/>
          </w:tblCellMar>
        </w:tblPrEx>
        <w:tc>
          <w:tcPr>
            <w:tcW w:w="490" w:type="pct"/>
            <w:vMerge w:val="restar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管控分区</w:t>
            </w:r>
          </w:p>
        </w:tc>
        <w:tc>
          <w:tcPr>
            <w:tcW w:w="2924" w:type="pc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地面塔</w:t>
            </w:r>
          </w:p>
        </w:tc>
        <w:tc>
          <w:tcPr>
            <w:tcW w:w="1584" w:type="pc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楼顶塔</w:t>
            </w:r>
          </w:p>
        </w:tc>
      </w:tr>
      <w:tr>
        <w:tblPrEx>
          <w:tblW w:w="5020" w:type="pct"/>
          <w:tblInd w:w="0" w:type="dxa"/>
          <w:tblCellMar>
            <w:top w:w="0" w:type="dxa"/>
            <w:left w:w="0" w:type="dxa"/>
            <w:bottom w:w="0" w:type="dxa"/>
            <w:right w:w="0" w:type="dxa"/>
          </w:tblCellMar>
        </w:tblPrEx>
        <w:tc>
          <w:tcPr>
            <w:tcW w:w="490" w:type="pct"/>
            <w:vMerge/>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p>
        </w:tc>
        <w:tc>
          <w:tcPr>
            <w:tcW w:w="2924" w:type="pc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塔型</w:t>
            </w:r>
          </w:p>
        </w:tc>
        <w:tc>
          <w:tcPr>
            <w:tcW w:w="1584" w:type="pct"/>
            <w:tcMar>
              <w:top w:w="15" w:type="dxa"/>
              <w:left w:w="15" w:type="dxa"/>
              <w:right w:w="15"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塔型</w:t>
            </w:r>
          </w:p>
        </w:tc>
      </w:tr>
      <w:tr>
        <w:tblPrEx>
          <w:tblW w:w="5020" w:type="pct"/>
          <w:tblInd w:w="0" w:type="dxa"/>
          <w:tblCellMar>
            <w:top w:w="0" w:type="dxa"/>
            <w:left w:w="0" w:type="dxa"/>
            <w:bottom w:w="0" w:type="dxa"/>
            <w:right w:w="0" w:type="dxa"/>
          </w:tblCellMar>
        </w:tblPrEx>
        <w:tc>
          <w:tcPr>
            <w:tcW w:w="490"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A类</w:t>
            </w:r>
          </w:p>
        </w:tc>
        <w:tc>
          <w:tcPr>
            <w:tcW w:w="2924"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景观塔、监控杆、路灯杆、广告牌、公交站牌（按实际需要）</w:t>
            </w:r>
          </w:p>
        </w:tc>
        <w:tc>
          <w:tcPr>
            <w:tcW w:w="1584"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楼顶美化体为主</w:t>
            </w:r>
          </w:p>
        </w:tc>
      </w:tr>
      <w:tr>
        <w:tblPrEx>
          <w:tblW w:w="5020" w:type="pct"/>
          <w:tblInd w:w="0" w:type="dxa"/>
          <w:tblCellMar>
            <w:top w:w="0" w:type="dxa"/>
            <w:left w:w="0" w:type="dxa"/>
            <w:bottom w:w="0" w:type="dxa"/>
            <w:right w:w="0" w:type="dxa"/>
          </w:tblCellMar>
        </w:tblPrEx>
        <w:tc>
          <w:tcPr>
            <w:tcW w:w="490"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B类</w:t>
            </w:r>
          </w:p>
        </w:tc>
        <w:tc>
          <w:tcPr>
            <w:tcW w:w="2924"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景观塔、监控杆、路灯杆、广告牌、公交站牌（按实际需要）</w:t>
            </w:r>
          </w:p>
        </w:tc>
        <w:tc>
          <w:tcPr>
            <w:tcW w:w="1584"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楼顶美化体为主（按实际需要）</w:t>
            </w:r>
          </w:p>
        </w:tc>
      </w:tr>
      <w:tr>
        <w:tblPrEx>
          <w:tblW w:w="5020" w:type="pct"/>
          <w:tblInd w:w="0" w:type="dxa"/>
          <w:tblCellMar>
            <w:top w:w="0" w:type="dxa"/>
            <w:left w:w="0" w:type="dxa"/>
            <w:bottom w:w="0" w:type="dxa"/>
            <w:right w:w="0" w:type="dxa"/>
          </w:tblCellMar>
        </w:tblPrEx>
        <w:tc>
          <w:tcPr>
            <w:tcW w:w="490"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C类</w:t>
            </w:r>
          </w:p>
        </w:tc>
        <w:tc>
          <w:tcPr>
            <w:tcW w:w="2924"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普通地面塔、景观塔</w:t>
            </w:r>
          </w:p>
        </w:tc>
        <w:tc>
          <w:tcPr>
            <w:tcW w:w="1584"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普通楼面塔为主</w:t>
            </w:r>
          </w:p>
        </w:tc>
      </w:tr>
      <w:tr>
        <w:tblPrEx>
          <w:tblW w:w="5020" w:type="pct"/>
          <w:tblInd w:w="0" w:type="dxa"/>
          <w:tblCellMar>
            <w:top w:w="0" w:type="dxa"/>
            <w:left w:w="0" w:type="dxa"/>
            <w:bottom w:w="0" w:type="dxa"/>
            <w:right w:w="0" w:type="dxa"/>
          </w:tblCellMar>
        </w:tblPrEx>
        <w:tc>
          <w:tcPr>
            <w:tcW w:w="490" w:type="pct"/>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其他区域</w:t>
            </w:r>
          </w:p>
        </w:tc>
        <w:tc>
          <w:tcPr>
            <w:tcW w:w="4509" w:type="pct"/>
            <w:gridSpan w:val="2"/>
            <w:tcMar>
              <w:top w:w="15" w:type="dxa"/>
              <w:left w:w="15" w:type="dxa"/>
              <w:right w:w="15"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规划范围外杆塔建设以满足通信需求为原则进行规划建设</w:t>
            </w:r>
          </w:p>
        </w:tc>
      </w:tr>
    </w:tbl>
    <w:p>
      <w:pPr>
        <w:widowControl/>
        <w:spacing w:line="360" w:lineRule="auto"/>
        <w:ind w:firstLine="420" w:firstLineChars="200"/>
        <w:rPr>
          <w:rFonts w:ascii="宋体" w:eastAsia="宋体" w:hAnsi="宋体" w:cs="宋体"/>
          <w:sz w:val="24"/>
          <w:highlight w:val="none"/>
        </w:rPr>
      </w:pP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6、农业及生态结构用地规划布局</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农业及生态结构用地一般指风景旅游区、定向半开放式动植物园林等周末节假热点网红地。本次规划在现规划区域内通过现有规划路网，以约450-650米为布点站距规划布点。规划区域以外，在其他规划或后期规划布点覆盖。</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7、交通干线规划布局</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交通干线主要分城市道路、县级以上道路、高速公路、高铁动车、普通铁路等，本次规划在现规划区域内城市道路、县级以上道路、高铁动车、普通铁路按中密集区城区250-350米为布点站距规划布点。规划区域以外，在其他规划或后期规划布点覆盖。</w:t>
      </w:r>
    </w:p>
    <w:p>
      <w:pPr>
        <w:pStyle w:val="Heading3"/>
        <w:spacing w:line="360" w:lineRule="auto"/>
        <w:ind w:firstLine="420" w:firstLineChars="200"/>
        <w:rPr>
          <w:rFonts w:ascii="宋体" w:eastAsia="宋体" w:hAnsi="宋体" w:cs="宋体"/>
          <w:sz w:val="28"/>
          <w:szCs w:val="28"/>
          <w:highlight w:val="none"/>
        </w:rPr>
      </w:pPr>
      <w:bookmarkStart w:id="72" w:name="_Toc22780"/>
      <w:r>
        <w:rPr>
          <w:rFonts w:ascii="宋体" w:eastAsia="宋体" w:hAnsi="宋体" w:cs="宋体" w:hint="eastAsia"/>
          <w:sz w:val="28"/>
          <w:szCs w:val="28"/>
          <w:highlight w:val="none"/>
        </w:rPr>
        <w:t>四、基站选址要求</w:t>
      </w:r>
      <w:bookmarkEnd w:id="72"/>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（一）满足覆盖和容量要求：</w:t>
      </w:r>
    </w:p>
    <w:p>
      <w:pPr>
        <w:pStyle w:val="Default"/>
        <w:ind w:firstLine="420" w:firstLineChars="200"/>
        <w:rPr>
          <w:rFonts w:ascii="Times New Roman" w:cs="Times New Roman"/>
          <w:color w:val="auto"/>
          <w:kern w:val="2"/>
          <w:highlight w:val="none"/>
        </w:rPr>
      </w:pPr>
      <w:r>
        <w:rPr>
          <w:rFonts w:ascii="Times New Roman" w:cs="Times New Roman"/>
          <w:color w:val="auto"/>
          <w:kern w:val="2"/>
          <w:highlight w:val="none"/>
        </w:rPr>
        <w:t>参考链路预算的计算值，充分考虑基站的有效覆盖范围，使系统满足</w:t>
      </w:r>
      <w:r>
        <w:rPr>
          <w:rFonts w:ascii="Times New Roman" w:cs="Times New Roman" w:hint="eastAsia"/>
          <w:color w:val="auto"/>
          <w:kern w:val="2"/>
          <w:highlight w:val="none"/>
        </w:rPr>
        <w:t>规划指标</w:t>
      </w:r>
      <w:r>
        <w:rPr>
          <w:rFonts w:ascii="Times New Roman" w:cs="Times New Roman"/>
          <w:color w:val="auto"/>
          <w:kern w:val="2"/>
          <w:highlight w:val="none"/>
        </w:rPr>
        <w:t>目标的要求，充分保证无线覆盖区域内重要区域和用户密集区的覆盖。</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（二）满足网络结构要求：</w:t>
      </w:r>
    </w:p>
    <w:p>
      <w:pPr>
        <w:pStyle w:val="Default"/>
        <w:ind w:firstLine="420" w:firstLineChars="200"/>
        <w:rPr>
          <w:rFonts w:ascii="Times New Roman" w:cs="Times New Roman"/>
          <w:color w:val="auto"/>
          <w:kern w:val="2"/>
          <w:highlight w:val="none"/>
        </w:rPr>
      </w:pPr>
      <w:r>
        <w:rPr>
          <w:rFonts w:ascii="Times New Roman" w:cs="Times New Roman" w:hint="eastAsia"/>
          <w:color w:val="auto"/>
          <w:kern w:val="2"/>
          <w:highlight w:val="none"/>
        </w:rPr>
        <w:t>宏基站站址</w:t>
      </w:r>
      <w:r>
        <w:rPr>
          <w:rFonts w:ascii="Times New Roman" w:cs="Times New Roman"/>
          <w:color w:val="auto"/>
          <w:kern w:val="2"/>
          <w:highlight w:val="none"/>
        </w:rPr>
        <w:t>在目标覆盖区内尽可能平均分布，尽量符合蜂窝网络结构的要求，一般要求基站站址分布与标准蜂窝结构的偏差应小于站间距的1/4；避免出现超近站和超远站。在具体落实时注意以下方面：</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1、在不影响基站布局的情况下，视具体情况尽量选择现有设施，以减少建设成本和周期；</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2、连续覆盖区域内原则上应避免选取对网络性能影响较大的已有高站（站高大于50米或站高高于周边建筑物15米）；</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3、在市区楼群中选址时，可利用建筑物的高度，实现网络层次结构的划分；</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4、市区边缘或郊区的海拔很高的山峰（与市区海拔高度相差100米以上），一般不考虑作为站址，一是为便于控制覆盖范围和干扰，二也是为了减少工程建设和后期维护的难度；</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5、避免将小区边缘设置在用户密集区，良好的覆盖是有且仅有一个主力覆盖小区。</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（三）避免周围环境对网络质量产生影响：</w:t>
      </w:r>
    </w:p>
    <w:p>
      <w:pPr>
        <w:pStyle w:val="ListParagraph"/>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宏基站天线高度在覆盖范围内基本保持一致、不宜过高，且要求天线主瓣方向无明显阻挡。在选择站址时还应注意以下几个方面：</w:t>
      </w:r>
    </w:p>
    <w:p>
      <w:pPr>
        <w:pStyle w:val="ListParagraph"/>
        <w:numPr>
          <w:ilvl w:val="0"/>
          <w:numId w:val="17"/>
        </w:numPr>
        <w:spacing w:line="360" w:lineRule="auto"/>
        <w:ind w:left="0" w:firstLine="480" w:firstLineChars="0"/>
        <w:rPr>
          <w:rFonts w:ascii="宋体" w:eastAsia="宋体" w:hAnsi="宋体" w:cs="宋体"/>
          <w:sz w:val="24"/>
          <w:szCs w:val="24"/>
          <w:highlight w:val="none"/>
        </w:rPr>
      </w:pPr>
      <w:r>
        <w:rPr>
          <w:rFonts w:ascii="宋体" w:eastAsia="宋体" w:hAnsi="宋体" w:cs="宋体" w:hint="eastAsia"/>
          <w:sz w:val="24"/>
          <w:szCs w:val="24"/>
          <w:highlight w:val="none"/>
        </w:rPr>
        <w:t>站址应避免设置在大功率无线电发射台、广播塔、雷达站或其他干扰源附近。</w:t>
      </w:r>
    </w:p>
    <w:p>
      <w:pPr>
        <w:pStyle w:val="ListParagraph"/>
        <w:numPr>
          <w:ilvl w:val="0"/>
          <w:numId w:val="17"/>
        </w:numPr>
        <w:spacing w:line="360" w:lineRule="auto"/>
        <w:ind w:left="0" w:firstLine="480" w:firstLineChars="0"/>
        <w:rPr>
          <w:rFonts w:ascii="宋体" w:eastAsia="宋体" w:hAnsi="宋体" w:cs="宋体"/>
          <w:sz w:val="24"/>
          <w:szCs w:val="24"/>
          <w:highlight w:val="none"/>
        </w:rPr>
      </w:pPr>
      <w:r>
        <w:rPr>
          <w:rFonts w:ascii="宋体" w:eastAsia="宋体" w:hAnsi="宋体" w:cs="宋体" w:hint="eastAsia"/>
          <w:sz w:val="24"/>
          <w:szCs w:val="24"/>
          <w:highlight w:val="none"/>
        </w:rPr>
        <w:t>站址应避免设置在有电焊设备、X光设备或产生强脉冲干扰的热和机、高频炉的企业或医疗单位附近。</w:t>
      </w:r>
    </w:p>
    <w:p>
      <w:pPr>
        <w:pStyle w:val="ListParagraph"/>
        <w:numPr>
          <w:ilvl w:val="0"/>
          <w:numId w:val="17"/>
        </w:numPr>
        <w:spacing w:line="360" w:lineRule="auto"/>
        <w:ind w:left="0" w:firstLine="480" w:firstLineChars="0"/>
        <w:rPr>
          <w:rFonts w:ascii="宋体" w:eastAsia="宋体" w:hAnsi="宋体" w:cs="宋体"/>
          <w:sz w:val="24"/>
          <w:szCs w:val="24"/>
          <w:highlight w:val="none"/>
        </w:rPr>
      </w:pPr>
      <w:r>
        <w:rPr>
          <w:rFonts w:ascii="宋体" w:eastAsia="宋体" w:hAnsi="宋体" w:cs="宋体" w:hint="eastAsia"/>
          <w:sz w:val="24"/>
          <w:szCs w:val="24"/>
          <w:highlight w:val="none"/>
        </w:rPr>
        <w:t>站址选择应远离树林处，以避免信号的快速衰落。</w:t>
      </w:r>
    </w:p>
    <w:p>
      <w:pPr>
        <w:pStyle w:val="ListParagraph"/>
        <w:numPr>
          <w:ilvl w:val="0"/>
          <w:numId w:val="17"/>
        </w:numPr>
        <w:spacing w:line="360" w:lineRule="auto"/>
        <w:ind w:left="0" w:firstLine="480" w:firstLineChars="0"/>
        <w:rPr>
          <w:rFonts w:ascii="宋体" w:eastAsia="宋体" w:hAnsi="宋体" w:cs="宋体"/>
          <w:sz w:val="24"/>
          <w:szCs w:val="24"/>
          <w:highlight w:val="none"/>
        </w:rPr>
      </w:pPr>
      <w:r>
        <w:rPr>
          <w:rFonts w:ascii="宋体" w:eastAsia="宋体" w:hAnsi="宋体" w:cs="宋体" w:hint="eastAsia"/>
          <w:sz w:val="24"/>
          <w:szCs w:val="24"/>
          <w:highlight w:val="none"/>
        </w:rPr>
        <w:t>在山区、丘陵、河岸比较陡峭或密集的湖泊区，及城市有高层玻璃幕墙建筑的环境中选址时要注意信号反射的影响。</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（四）选址在便利、安全之处：</w:t>
      </w:r>
    </w:p>
    <w:p>
      <w:pPr>
        <w:pStyle w:val="ListParagraph"/>
        <w:numPr>
          <w:ilvl w:val="0"/>
          <w:numId w:val="18"/>
        </w:numPr>
        <w:spacing w:line="360" w:lineRule="auto"/>
        <w:ind w:left="840" w:hanging="360" w:firstLineChars="0"/>
        <w:rPr>
          <w:rFonts w:ascii="宋体" w:eastAsia="宋体" w:hAnsi="宋体" w:cs="宋体"/>
          <w:sz w:val="24"/>
          <w:szCs w:val="24"/>
          <w:highlight w:val="none"/>
        </w:rPr>
      </w:pPr>
      <w:r>
        <w:rPr>
          <w:rFonts w:ascii="宋体" w:eastAsia="宋体" w:hAnsi="宋体" w:cs="宋体" w:hint="eastAsia"/>
          <w:sz w:val="24"/>
          <w:szCs w:val="24"/>
          <w:highlight w:val="none"/>
        </w:rPr>
        <w:t>基站站址宜选择在交通便利的地方。</w:t>
      </w:r>
    </w:p>
    <w:p>
      <w:pPr>
        <w:pStyle w:val="ListParagraph"/>
        <w:numPr>
          <w:ilvl w:val="0"/>
          <w:numId w:val="18"/>
        </w:numPr>
        <w:spacing w:line="360" w:lineRule="auto"/>
        <w:ind w:left="840" w:hanging="360" w:firstLineChars="0"/>
        <w:rPr>
          <w:rFonts w:ascii="宋体" w:eastAsia="宋体" w:hAnsi="宋体" w:cs="宋体"/>
          <w:sz w:val="24"/>
          <w:szCs w:val="24"/>
          <w:highlight w:val="none"/>
        </w:rPr>
      </w:pPr>
      <w:r>
        <w:rPr>
          <w:rFonts w:ascii="宋体" w:eastAsia="宋体" w:hAnsi="宋体" w:cs="宋体" w:hint="eastAsia"/>
          <w:sz w:val="24"/>
          <w:szCs w:val="24"/>
          <w:highlight w:val="none"/>
        </w:rPr>
        <w:t>基站站址应选在地质良好、场地稳定的地带。应避开地质断层、土坡边缘、故河道和有开采价值的地下矿藏或古迹遗址的地方。</w:t>
      </w:r>
    </w:p>
    <w:p>
      <w:pPr>
        <w:pStyle w:val="ListParagraph"/>
        <w:numPr>
          <w:ilvl w:val="0"/>
          <w:numId w:val="18"/>
        </w:numPr>
        <w:spacing w:line="360" w:lineRule="auto"/>
        <w:ind w:left="840" w:hanging="360" w:firstLineChars="0"/>
        <w:rPr>
          <w:rFonts w:ascii="宋体" w:eastAsia="宋体" w:hAnsi="宋体" w:cs="宋体"/>
          <w:sz w:val="24"/>
          <w:szCs w:val="24"/>
          <w:highlight w:val="none"/>
        </w:rPr>
      </w:pPr>
      <w:r>
        <w:rPr>
          <w:rFonts w:ascii="宋体" w:eastAsia="宋体" w:hAnsi="宋体" w:cs="宋体" w:hint="eastAsia"/>
          <w:sz w:val="24"/>
          <w:szCs w:val="24"/>
          <w:highlight w:val="none"/>
        </w:rPr>
        <w:t>基站站址应选择在不易受洪水淹灌的地区。如无法避开时，可将基站场地标高确定在高于该处历史最高洪水位的0.5米以上。</w:t>
      </w:r>
    </w:p>
    <w:p>
      <w:pPr>
        <w:pStyle w:val="ListParagraph"/>
        <w:numPr>
          <w:ilvl w:val="0"/>
          <w:numId w:val="18"/>
        </w:numPr>
        <w:spacing w:line="360" w:lineRule="auto"/>
        <w:ind w:left="840" w:hanging="360" w:firstLineChars="0"/>
        <w:rPr>
          <w:rFonts w:ascii="宋体" w:eastAsia="宋体" w:hAnsi="宋体" w:cs="宋体"/>
          <w:sz w:val="22"/>
          <w:szCs w:val="24"/>
          <w:highlight w:val="none"/>
        </w:rPr>
      </w:pPr>
      <w:r>
        <w:rPr>
          <w:rFonts w:ascii="宋体" w:eastAsia="宋体" w:hAnsi="宋体" w:cs="宋体" w:hint="eastAsia"/>
          <w:sz w:val="24"/>
          <w:szCs w:val="24"/>
          <w:highlight w:val="none"/>
        </w:rPr>
        <w:t xml:space="preserve">基站站址不宜选择在生产过程中散发有害气体、多烟雾、粉尘、有害物质的工业企业附近。 </w:t>
      </w:r>
    </w:p>
    <w:p>
      <w:pPr>
        <w:pStyle w:val="ListParagraph"/>
        <w:numPr>
          <w:ilvl w:val="0"/>
          <w:numId w:val="18"/>
        </w:numPr>
        <w:spacing w:line="360" w:lineRule="auto"/>
        <w:ind w:left="840" w:hanging="360" w:firstLineChars="0"/>
        <w:rPr>
          <w:rFonts w:ascii="宋体" w:eastAsia="宋体" w:hAnsi="宋体" w:cs="宋体"/>
          <w:sz w:val="24"/>
          <w:szCs w:val="24"/>
          <w:highlight w:val="none"/>
        </w:rPr>
      </w:pPr>
      <w:r>
        <w:rPr>
          <w:rFonts w:ascii="宋体" w:eastAsia="宋体" w:hAnsi="宋体" w:cs="宋体" w:hint="eastAsia"/>
          <w:sz w:val="24"/>
          <w:szCs w:val="24"/>
          <w:highlight w:val="none"/>
        </w:rPr>
        <w:t>基站站址不得占用基本农田进行基站建设。</w:t>
      </w:r>
    </w:p>
    <w:p>
      <w:pPr>
        <w:pStyle w:val="ListParagraph"/>
        <w:numPr>
          <w:ilvl w:val="0"/>
          <w:numId w:val="18"/>
        </w:numPr>
        <w:spacing w:line="360" w:lineRule="auto"/>
        <w:ind w:left="840" w:hanging="360" w:firstLineChars="0"/>
        <w:rPr>
          <w:rFonts w:ascii="宋体" w:eastAsia="宋体" w:hAnsi="宋体" w:cs="宋体"/>
          <w:sz w:val="24"/>
          <w:szCs w:val="24"/>
          <w:highlight w:val="none"/>
        </w:rPr>
      </w:pPr>
      <w:r>
        <w:rPr>
          <w:rFonts w:ascii="宋体" w:eastAsia="宋体" w:hAnsi="宋体" w:cs="宋体" w:hint="eastAsia"/>
          <w:sz w:val="24"/>
          <w:szCs w:val="24"/>
          <w:highlight w:val="none"/>
        </w:rPr>
        <w:t>基站站址尽可能避免设在雷击区。</w:t>
      </w:r>
    </w:p>
    <w:p>
      <w:pPr>
        <w:pStyle w:val="ListParagraph"/>
        <w:numPr>
          <w:ilvl w:val="0"/>
          <w:numId w:val="18"/>
        </w:numPr>
        <w:spacing w:line="360" w:lineRule="auto"/>
        <w:ind w:left="840" w:hanging="360" w:firstLineChars="0"/>
        <w:rPr>
          <w:rFonts w:ascii="宋体" w:eastAsia="宋体" w:hAnsi="宋体" w:cs="宋体"/>
          <w:b/>
          <w:bCs/>
          <w:sz w:val="24"/>
          <w:highlight w:val="none"/>
        </w:rPr>
      </w:pPr>
      <w:r>
        <w:rPr>
          <w:rFonts w:ascii="宋体" w:eastAsia="宋体" w:hAnsi="宋体" w:cs="宋体" w:hint="eastAsia"/>
          <w:sz w:val="24"/>
          <w:szCs w:val="24"/>
          <w:highlight w:val="none"/>
        </w:rPr>
        <w:t>不同通信铁塔间距离应保证50m以上。</w:t>
      </w: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（五）基站选址与重点区域的安全距离</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基站的选址，应本着安全第一的原则，如果安全间距不足，务必向当地建设单位反映该站点的安全隐患，并敦促建设方与相关部门联系、协调，避免基站建设时受到阻碍或建成后被迫搬迁。</w:t>
      </w:r>
    </w:p>
    <w:p>
      <w:pPr>
        <w:pStyle w:val="ListParagraph"/>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基站选址应尽量远离机场、铁路、公路、河道、高压线、加油站、文物保护建筑等，建设前期应充分了解国家及地方法律法规对各种安全距离的要求。当基站需要设置在如学校、医院、部队、电力设施等敏感区域时，需谨慎进行基站站址的选择，应征求相关单位及管理部门的意见。</w:t>
      </w:r>
    </w:p>
    <w:p>
      <w:pPr>
        <w:spacing w:before="120" w:after="60" w:line="360" w:lineRule="auto"/>
        <w:ind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1、基站</w:t>
      </w:r>
      <w:r>
        <w:rPr>
          <w:rFonts w:ascii="宋体" w:eastAsia="宋体" w:hAnsi="宋体" w:cs="宋体" w:hint="eastAsia"/>
          <w:b/>
          <w:bCs/>
          <w:sz w:val="24"/>
          <w:highlight w:val="none"/>
        </w:rPr>
        <w:t>选址</w:t>
      </w:r>
      <w:r>
        <w:rPr>
          <w:rFonts w:ascii="宋体" w:eastAsia="宋体" w:hAnsi="宋体" w:cs="宋体" w:hint="eastAsia"/>
          <w:b/>
          <w:bCs/>
          <w:sz w:val="24"/>
          <w:szCs w:val="24"/>
          <w:highlight w:val="none"/>
        </w:rPr>
        <w:t>与机场的安全间距</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在机场附近建设通信基站，应严格执行《民用机场运行安全管理规定》（2018年修订版）中“第七章机场净空和电磁环境保护”的相关规定及《民用机场飞行区技术标准》(MH5001-2021)第3章节内容的要求。为了保证基站的通信高度，基站应尽量选择在机场跑道的二侧。站址初步选定后，应将站址的经纬度、塔高等建站需求上报机场管理部门，经机场管理部门核准后，建设单位才能正式开展该站点的建设。</w:t>
      </w:r>
    </w:p>
    <w:p>
      <w:pPr>
        <w:spacing w:before="120" w:after="60" w:line="360" w:lineRule="auto"/>
        <w:ind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2、基站选址与铁路的安全间距</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站址距离铁路的安全距离，原则上应满足倒塔距离（即含避雷针塔高</w:t>
      </w:r>
      <w:r>
        <w:rPr>
          <w:rFonts w:ascii="宋体" w:eastAsia="宋体" w:hAnsi="宋体" w:cs="宋体"/>
          <w:sz w:val="24"/>
          <w:szCs w:val="24"/>
          <w:highlight w:val="none"/>
        </w:rPr>
        <w:t xml:space="preserve">+5 </w:t>
      </w:r>
      <w:r>
        <w:rPr>
          <w:rFonts w:ascii="宋体" w:eastAsia="宋体" w:hAnsi="宋体" w:cs="宋体" w:hint="eastAsia"/>
          <w:sz w:val="24"/>
          <w:szCs w:val="24"/>
          <w:highlight w:val="none"/>
        </w:rPr>
        <w:t>米），在现场条件不具备且无其它备选站址的情况下，在征得铁路主管部门的同意下，需要满足《铁路运输安全保护条例》</w:t>
      </w:r>
      <w:r>
        <w:rPr>
          <w:rFonts w:ascii="宋体" w:eastAsia="宋体" w:hAnsi="宋体" w:cs="宋体"/>
          <w:sz w:val="24"/>
          <w:szCs w:val="24"/>
          <w:highlight w:val="none"/>
        </w:rPr>
        <w:t>[</w:t>
      </w:r>
      <w:r>
        <w:rPr>
          <w:rFonts w:ascii="宋体" w:eastAsia="宋体" w:hAnsi="宋体" w:cs="宋体" w:hint="eastAsia"/>
          <w:sz w:val="24"/>
          <w:szCs w:val="24"/>
          <w:highlight w:val="none"/>
        </w:rPr>
        <w:t>中华人民共和国国务院令（第</w:t>
      </w:r>
      <w:r>
        <w:rPr>
          <w:rFonts w:ascii="宋体" w:eastAsia="宋体" w:hAnsi="宋体" w:cs="宋体"/>
          <w:sz w:val="24"/>
          <w:szCs w:val="24"/>
          <w:highlight w:val="none"/>
        </w:rPr>
        <w:t>430</w:t>
      </w:r>
      <w:r>
        <w:rPr>
          <w:rFonts w:ascii="宋体" w:eastAsia="宋体" w:hAnsi="宋体" w:cs="宋体" w:hint="eastAsia"/>
          <w:sz w:val="24"/>
          <w:szCs w:val="24"/>
          <w:highlight w:val="none"/>
        </w:rPr>
        <w:t>号）</w:t>
      </w:r>
      <w:r>
        <w:rPr>
          <w:rFonts w:ascii="宋体" w:eastAsia="宋体" w:hAnsi="宋体" w:cs="宋体"/>
          <w:sz w:val="24"/>
          <w:szCs w:val="24"/>
          <w:highlight w:val="none"/>
        </w:rPr>
        <w:t>]</w:t>
      </w:r>
      <w:r>
        <w:rPr>
          <w:rFonts w:ascii="宋体" w:eastAsia="宋体" w:hAnsi="宋体" w:cs="宋体" w:hint="eastAsia"/>
          <w:sz w:val="24"/>
          <w:szCs w:val="24"/>
          <w:highlight w:val="none"/>
        </w:rPr>
        <w:t>（</w:t>
      </w:r>
      <w:r>
        <w:rPr>
          <w:rFonts w:ascii="宋体" w:eastAsia="宋体" w:hAnsi="宋体" w:cs="宋体"/>
          <w:sz w:val="24"/>
          <w:szCs w:val="24"/>
          <w:highlight w:val="none"/>
        </w:rPr>
        <w:t xml:space="preserve">2005 </w:t>
      </w:r>
      <w:r>
        <w:rPr>
          <w:rFonts w:ascii="宋体" w:eastAsia="宋体" w:hAnsi="宋体" w:cs="宋体" w:hint="eastAsia"/>
          <w:sz w:val="24"/>
          <w:szCs w:val="24"/>
          <w:highlight w:val="none"/>
        </w:rPr>
        <w:t xml:space="preserve">年 </w:t>
      </w:r>
      <w:r>
        <w:rPr>
          <w:rFonts w:ascii="宋体" w:eastAsia="宋体" w:hAnsi="宋体" w:cs="宋体"/>
          <w:sz w:val="24"/>
          <w:szCs w:val="24"/>
          <w:highlight w:val="none"/>
        </w:rPr>
        <w:t xml:space="preserve">4 </w:t>
      </w:r>
      <w:r>
        <w:rPr>
          <w:rFonts w:ascii="宋体" w:eastAsia="宋体" w:hAnsi="宋体" w:cs="宋体" w:hint="eastAsia"/>
          <w:sz w:val="24"/>
          <w:szCs w:val="24"/>
          <w:highlight w:val="none"/>
        </w:rPr>
        <w:t xml:space="preserve">月 </w:t>
      </w:r>
      <w:r>
        <w:rPr>
          <w:rFonts w:ascii="宋体" w:eastAsia="宋体" w:hAnsi="宋体" w:cs="宋体"/>
          <w:sz w:val="24"/>
          <w:szCs w:val="24"/>
          <w:highlight w:val="none"/>
        </w:rPr>
        <w:t xml:space="preserve">1 </w:t>
      </w:r>
      <w:r>
        <w:rPr>
          <w:rFonts w:ascii="宋体" w:eastAsia="宋体" w:hAnsi="宋体" w:cs="宋体" w:hint="eastAsia"/>
          <w:sz w:val="24"/>
          <w:szCs w:val="24"/>
          <w:highlight w:val="none"/>
        </w:rPr>
        <w:t xml:space="preserve">日起施行）第十条、十一条所列限值。 </w:t>
      </w:r>
    </w:p>
    <w:p>
      <w:pPr>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 xml:space="preserve">表 </w:t>
      </w:r>
      <w:r>
        <w:rPr>
          <w:rFonts w:ascii="宋体" w:eastAsia="宋体" w:hAnsi="宋体" w:cs="宋体"/>
          <w:b/>
          <w:bCs/>
          <w:szCs w:val="21"/>
          <w:highlight w:val="none"/>
        </w:rPr>
        <w:t>6</w:t>
      </w:r>
      <w:r>
        <w:rPr>
          <w:rFonts w:ascii="宋体" w:eastAsia="宋体" w:hAnsi="宋体" w:cs="宋体" w:hint="eastAsia"/>
          <w:b/>
          <w:bCs/>
          <w:szCs w:val="21"/>
          <w:highlight w:val="none"/>
        </w:rPr>
        <w:t>-6</w:t>
      </w:r>
      <w:r>
        <w:rPr>
          <w:rFonts w:ascii="宋体" w:eastAsia="宋体" w:hAnsi="宋体" w:cs="宋体"/>
          <w:b/>
          <w:bCs/>
          <w:szCs w:val="21"/>
          <w:highlight w:val="none"/>
        </w:rPr>
        <w:t xml:space="preserve"> </w:t>
      </w:r>
      <w:r>
        <w:rPr>
          <w:rFonts w:ascii="宋体" w:eastAsia="宋体" w:hAnsi="宋体" w:cs="宋体" w:hint="eastAsia"/>
          <w:b/>
          <w:bCs/>
          <w:szCs w:val="21"/>
          <w:highlight w:val="none"/>
        </w:rPr>
        <w:t>站址距离铁路的安全距离表</w:t>
      </w:r>
    </w:p>
    <w:p>
      <w:pPr>
        <w:spacing w:line="360" w:lineRule="auto"/>
        <w:jc w:val="center"/>
        <w:rPr>
          <w:rFonts w:ascii="宋体" w:eastAsia="宋体" w:hAnsi="宋体" w:cs="宋体"/>
          <w:sz w:val="24"/>
          <w:szCs w:val="24"/>
          <w:highlight w:val="none"/>
        </w:rPr>
      </w:pPr>
      <w:r>
        <w:rPr>
          <w:highlight w:val="none"/>
        </w:rPr>
        <w:drawing>
          <wp:inline distT="0" distB="0" distL="114300" distR="114300">
            <wp:extent cx="5109210" cy="661035"/>
            <wp:effectExtent l="0" t="0" r="15240" b="571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xmlns:r="http://schemas.openxmlformats.org/officeDocument/2006/relationships" r:embed="rId38"/>
                    <a:srcRect t="3981"/>
                    <a:stretch>
                      <a:fillRect/>
                    </a:stretch>
                  </pic:blipFill>
                  <pic:spPr>
                    <a:xfrm>
                      <a:off x="0" y="0"/>
                      <a:ext cx="5109210" cy="661035"/>
                    </a:xfrm>
                    <a:prstGeom prst="rect">
                      <a:avLst/>
                    </a:prstGeom>
                    <a:noFill/>
                    <a:ln>
                      <a:noFill/>
                    </a:ln>
                  </pic:spPr>
                </pic:pic>
              </a:graphicData>
            </a:graphic>
          </wp:inline>
        </w:drawing>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注：在铁路线路安全保护区内，除必要的铁路施工、作业、抢险活动外，任何单位和个人不得实施以下行为：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1、建造建筑物、构筑物；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2、取土、挖砂、挖沟；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3、采空作业；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4、堆放、悬挂物品。 </w:t>
      </w:r>
    </w:p>
    <w:p>
      <w:pPr>
        <w:spacing w:before="120" w:after="60" w:line="360" w:lineRule="auto"/>
        <w:ind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3、基站选址与公路的安全间距</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当基站需要设置在公路附近时，其新建建筑物或构筑物距离公路用地外缘的距离，应符合公路建筑控制区范围的要求，详细参考《中华人民共和国公路安全保护条例》（中华人民共和国国务院令第593号）第二章内容，并且需经相关部门批准。</w:t>
      </w:r>
    </w:p>
    <w:p>
      <w:pPr>
        <w:spacing w:before="120" w:after="60" w:line="360" w:lineRule="auto"/>
        <w:ind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4、基站选址与高压电力线的安全间距</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站址距离高压电力线的安全距离：考虑到铁塔基础施工及塔身安装要求，基站与高压电的隔离距离原则上应满足倒塔距离（即含避雷针塔高</w:t>
      </w:r>
      <w:r>
        <w:rPr>
          <w:rFonts w:ascii="宋体" w:eastAsia="宋体" w:hAnsi="宋体" w:cs="宋体"/>
          <w:sz w:val="24"/>
          <w:szCs w:val="24"/>
          <w:highlight w:val="none"/>
        </w:rPr>
        <w:t>+5</w:t>
      </w:r>
      <w:r>
        <w:rPr>
          <w:rFonts w:ascii="宋体" w:eastAsia="宋体" w:hAnsi="宋体" w:cs="宋体" w:hint="eastAsia"/>
          <w:sz w:val="24"/>
          <w:szCs w:val="24"/>
          <w:highlight w:val="none"/>
        </w:rPr>
        <w:t xml:space="preserve">米）。在现场条件不具备且无其它备选站址的情况下，考虑到塔高可能不低于高压线，施工安全风险，以及高压电磁辐射及引雷可能性的影响，不得低于以下标准：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w:t>
      </w:r>
      <w:r>
        <w:rPr>
          <w:rFonts w:ascii="宋体" w:eastAsia="宋体" w:hAnsi="宋体" w:cs="宋体"/>
          <w:sz w:val="24"/>
          <w:szCs w:val="24"/>
          <w:highlight w:val="none"/>
        </w:rPr>
        <w:t>10KV</w:t>
      </w:r>
      <w:r>
        <w:rPr>
          <w:rFonts w:ascii="宋体" w:eastAsia="宋体" w:hAnsi="宋体" w:cs="宋体" w:hint="eastAsia"/>
          <w:sz w:val="24"/>
          <w:szCs w:val="24"/>
          <w:highlight w:val="none"/>
        </w:rPr>
        <w:t>及以下高压线，距离在</w:t>
      </w:r>
      <w:r>
        <w:rPr>
          <w:rFonts w:ascii="宋体" w:eastAsia="宋体" w:hAnsi="宋体" w:cs="宋体"/>
          <w:sz w:val="24"/>
          <w:szCs w:val="24"/>
          <w:highlight w:val="none"/>
        </w:rPr>
        <w:t>20</w:t>
      </w:r>
      <w:r>
        <w:rPr>
          <w:rFonts w:ascii="宋体" w:eastAsia="宋体" w:hAnsi="宋体" w:cs="宋体" w:hint="eastAsia"/>
          <w:sz w:val="24"/>
          <w:szCs w:val="24"/>
          <w:highlight w:val="none"/>
        </w:rPr>
        <w:t>米以上；对于</w:t>
      </w:r>
      <w:r>
        <w:rPr>
          <w:rFonts w:ascii="宋体" w:eastAsia="宋体" w:hAnsi="宋体" w:cs="宋体"/>
          <w:sz w:val="24"/>
          <w:szCs w:val="24"/>
          <w:highlight w:val="none"/>
        </w:rPr>
        <w:t>10KV-110KV</w:t>
      </w:r>
      <w:r>
        <w:rPr>
          <w:rFonts w:ascii="宋体" w:eastAsia="宋体" w:hAnsi="宋体" w:cs="宋体" w:hint="eastAsia"/>
          <w:sz w:val="24"/>
          <w:szCs w:val="24"/>
          <w:highlight w:val="none"/>
        </w:rPr>
        <w:t>以上高压线，最少保证不少于</w:t>
      </w:r>
      <w:r>
        <w:rPr>
          <w:rFonts w:ascii="宋体" w:eastAsia="宋体" w:hAnsi="宋体" w:cs="宋体"/>
          <w:sz w:val="24"/>
          <w:szCs w:val="24"/>
          <w:highlight w:val="none"/>
        </w:rPr>
        <w:t>40</w:t>
      </w:r>
      <w:r>
        <w:rPr>
          <w:rFonts w:ascii="宋体" w:eastAsia="宋体" w:hAnsi="宋体" w:cs="宋体" w:hint="eastAsia"/>
          <w:sz w:val="24"/>
          <w:szCs w:val="24"/>
          <w:highlight w:val="none"/>
        </w:rPr>
        <w:t>米的安全距离；对于</w:t>
      </w:r>
      <w:r>
        <w:rPr>
          <w:rFonts w:ascii="宋体" w:eastAsia="宋体" w:hAnsi="宋体" w:cs="宋体"/>
          <w:sz w:val="24"/>
          <w:szCs w:val="24"/>
          <w:highlight w:val="none"/>
        </w:rPr>
        <w:t>110KV</w:t>
      </w:r>
      <w:r>
        <w:rPr>
          <w:rFonts w:ascii="宋体" w:eastAsia="宋体" w:hAnsi="宋体" w:cs="宋体" w:hint="eastAsia"/>
          <w:sz w:val="24"/>
          <w:szCs w:val="24"/>
          <w:highlight w:val="none"/>
        </w:rPr>
        <w:t>以上高压线，保证</w:t>
      </w:r>
      <w:r>
        <w:rPr>
          <w:rFonts w:ascii="宋体" w:eastAsia="宋体" w:hAnsi="宋体" w:cs="宋体"/>
          <w:sz w:val="24"/>
          <w:szCs w:val="24"/>
          <w:highlight w:val="none"/>
        </w:rPr>
        <w:t>50</w:t>
      </w:r>
      <w:r>
        <w:rPr>
          <w:rFonts w:ascii="宋体" w:eastAsia="宋体" w:hAnsi="宋体" w:cs="宋体" w:hint="eastAsia"/>
          <w:sz w:val="24"/>
          <w:szCs w:val="24"/>
          <w:highlight w:val="none"/>
        </w:rPr>
        <w:t xml:space="preserve">米以上。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w:t>
      </w:r>
      <w:r>
        <w:rPr>
          <w:rFonts w:ascii="宋体" w:eastAsia="宋体" w:hAnsi="宋体" w:cs="宋体"/>
          <w:sz w:val="24"/>
          <w:szCs w:val="24"/>
          <w:highlight w:val="none"/>
        </w:rPr>
        <w:t xml:space="preserve">110—500kV </w:t>
      </w:r>
      <w:r>
        <w:rPr>
          <w:rFonts w:ascii="宋体" w:eastAsia="宋体" w:hAnsi="宋体" w:cs="宋体" w:hint="eastAsia"/>
          <w:sz w:val="24"/>
          <w:szCs w:val="24"/>
          <w:highlight w:val="none"/>
        </w:rPr>
        <w:t>架空送电线路设计技术规程》（</w:t>
      </w:r>
      <w:r>
        <w:rPr>
          <w:rFonts w:ascii="宋体" w:eastAsia="宋体" w:hAnsi="宋体" w:cs="宋体"/>
          <w:sz w:val="24"/>
          <w:szCs w:val="24"/>
          <w:highlight w:val="none"/>
        </w:rPr>
        <w:t>DL/T5092-1999</w:t>
      </w:r>
      <w:r>
        <w:rPr>
          <w:rFonts w:ascii="宋体" w:eastAsia="宋体" w:hAnsi="宋体" w:cs="宋体" w:hint="eastAsia"/>
          <w:sz w:val="24"/>
          <w:szCs w:val="24"/>
          <w:highlight w:val="none"/>
        </w:rPr>
        <w:t>）：</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2、送电线路边导线与建筑物之间的距离，在最大计算风偏情况下，不小于表 </w:t>
      </w:r>
      <w:r>
        <w:rPr>
          <w:rFonts w:ascii="宋体" w:eastAsia="宋体" w:hAnsi="宋体" w:cs="宋体"/>
          <w:sz w:val="24"/>
          <w:szCs w:val="24"/>
          <w:highlight w:val="none"/>
        </w:rPr>
        <w:t xml:space="preserve">1 </w:t>
      </w:r>
      <w:r>
        <w:rPr>
          <w:rFonts w:ascii="宋体" w:eastAsia="宋体" w:hAnsi="宋体" w:cs="宋体" w:hint="eastAsia"/>
          <w:sz w:val="24"/>
          <w:szCs w:val="24"/>
          <w:highlight w:val="none"/>
        </w:rPr>
        <w:t xml:space="preserve">数值： </w:t>
      </w:r>
    </w:p>
    <w:p>
      <w:pPr>
        <w:spacing w:line="360" w:lineRule="auto"/>
        <w:jc w:val="center"/>
        <w:rPr>
          <w:rFonts w:ascii="宋体" w:eastAsia="宋体" w:hAnsi="宋体" w:cs="宋体"/>
          <w:sz w:val="24"/>
          <w:szCs w:val="24"/>
          <w:highlight w:val="none"/>
        </w:rPr>
      </w:pPr>
      <w:r>
        <w:rPr>
          <w:rFonts w:ascii="宋体" w:eastAsia="宋体" w:hAnsi="宋体" w:cs="宋体" w:hint="eastAsia"/>
          <w:b/>
          <w:bCs/>
          <w:szCs w:val="21"/>
          <w:highlight w:val="none"/>
        </w:rPr>
        <w:t xml:space="preserve">表 </w:t>
      </w:r>
      <w:r>
        <w:rPr>
          <w:rFonts w:ascii="宋体" w:eastAsia="宋体" w:hAnsi="宋体" w:cs="宋体"/>
          <w:b/>
          <w:bCs/>
          <w:szCs w:val="21"/>
          <w:highlight w:val="none"/>
        </w:rPr>
        <w:t>6</w:t>
      </w:r>
      <w:r>
        <w:rPr>
          <w:rFonts w:ascii="宋体" w:eastAsia="宋体" w:hAnsi="宋体" w:cs="宋体" w:hint="eastAsia"/>
          <w:b/>
          <w:bCs/>
          <w:szCs w:val="21"/>
          <w:highlight w:val="none"/>
        </w:rPr>
        <w:t>-7</w:t>
      </w:r>
      <w:r>
        <w:rPr>
          <w:rFonts w:ascii="宋体" w:eastAsia="宋体" w:hAnsi="宋体" w:cs="宋体"/>
          <w:b/>
          <w:bCs/>
          <w:szCs w:val="21"/>
          <w:highlight w:val="none"/>
        </w:rPr>
        <w:t xml:space="preserve"> </w:t>
      </w:r>
      <w:r>
        <w:rPr>
          <w:rFonts w:ascii="宋体" w:eastAsia="宋体" w:hAnsi="宋体" w:cs="宋体" w:hint="eastAsia"/>
          <w:b/>
          <w:bCs/>
          <w:szCs w:val="21"/>
          <w:highlight w:val="none"/>
        </w:rPr>
        <w:t>边导线与建筑物之间的最小距离表</w:t>
      </w:r>
    </w:p>
    <w:p>
      <w:pPr>
        <w:spacing w:line="360" w:lineRule="auto"/>
        <w:jc w:val="center"/>
        <w:rPr>
          <w:rFonts w:ascii="宋体" w:eastAsia="宋体" w:hAnsi="宋体" w:cs="宋体"/>
          <w:sz w:val="24"/>
          <w:szCs w:val="24"/>
          <w:highlight w:val="none"/>
        </w:rPr>
      </w:pPr>
      <w:r>
        <w:rPr>
          <w:highlight w:val="none"/>
        </w:rPr>
        <w:drawing>
          <wp:inline distT="0" distB="0" distL="114300" distR="114300">
            <wp:extent cx="4089400" cy="445770"/>
            <wp:effectExtent l="0" t="0" r="6350" b="1143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xmlns:r="http://schemas.openxmlformats.org/officeDocument/2006/relationships" r:embed="rId39"/>
                    <a:stretch>
                      <a:fillRect/>
                    </a:stretch>
                  </pic:blipFill>
                  <pic:spPr>
                    <a:xfrm>
                      <a:off x="0" y="0"/>
                      <a:ext cx="4089400" cy="445770"/>
                    </a:xfrm>
                    <a:prstGeom prst="rect">
                      <a:avLst/>
                    </a:prstGeom>
                    <a:noFill/>
                    <a:ln>
                      <a:noFill/>
                    </a:ln>
                  </pic:spPr>
                </pic:pic>
              </a:graphicData>
            </a:graphic>
          </wp:inline>
        </w:drawing>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注：导线与城市多层建筑物或规划建筑物之间的距离，指水平距离。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3、《电力设施保护条例实施细则》</w:t>
      </w:r>
      <w:r>
        <w:rPr>
          <w:rFonts w:ascii="宋体" w:eastAsia="宋体" w:hAnsi="宋体" w:cs="宋体"/>
          <w:sz w:val="24"/>
          <w:szCs w:val="24"/>
          <w:highlight w:val="none"/>
        </w:rPr>
        <w:t xml:space="preserve">: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各级电压导线边线在计算导线最大风偏情况下，距建筑物的水平安全距离如下表。任何单位或个人不得在距架空电力线路杆塔、拉线基础外缘的下列范围内进行取土、打桩、钻探、开挖或倾倒酸、碱、盐及其他有害化学物品的活动：</w:t>
      </w:r>
      <w:r>
        <w:rPr>
          <w:rFonts w:ascii="宋体" w:eastAsia="宋体" w:hAnsi="宋体" w:cs="宋体"/>
          <w:sz w:val="24"/>
          <w:szCs w:val="24"/>
          <w:highlight w:val="none"/>
        </w:rPr>
        <w:t>35</w:t>
      </w:r>
      <w:r>
        <w:rPr>
          <w:rFonts w:ascii="宋体" w:eastAsia="宋体" w:hAnsi="宋体" w:cs="宋体" w:hint="eastAsia"/>
          <w:sz w:val="24"/>
          <w:szCs w:val="24"/>
          <w:highlight w:val="none"/>
        </w:rPr>
        <w:t xml:space="preserve">千伏及以下电力线路杆塔、拉线周围 </w:t>
      </w:r>
      <w:r>
        <w:rPr>
          <w:rFonts w:ascii="宋体" w:eastAsia="宋体" w:hAnsi="宋体" w:cs="宋体"/>
          <w:sz w:val="24"/>
          <w:szCs w:val="24"/>
          <w:highlight w:val="none"/>
        </w:rPr>
        <w:t xml:space="preserve">5 </w:t>
      </w:r>
      <w:r>
        <w:rPr>
          <w:rFonts w:ascii="宋体" w:eastAsia="宋体" w:hAnsi="宋体" w:cs="宋体" w:hint="eastAsia"/>
          <w:sz w:val="24"/>
          <w:szCs w:val="24"/>
          <w:highlight w:val="none"/>
        </w:rPr>
        <w:t>米的区域；</w:t>
      </w:r>
      <w:r>
        <w:rPr>
          <w:rFonts w:ascii="宋体" w:eastAsia="宋体" w:hAnsi="宋体" w:cs="宋体"/>
          <w:sz w:val="24"/>
          <w:szCs w:val="24"/>
          <w:highlight w:val="none"/>
        </w:rPr>
        <w:t xml:space="preserve">66 </w:t>
      </w:r>
      <w:r>
        <w:rPr>
          <w:rFonts w:ascii="宋体" w:eastAsia="宋体" w:hAnsi="宋体" w:cs="宋体" w:hint="eastAsia"/>
          <w:sz w:val="24"/>
          <w:szCs w:val="24"/>
          <w:highlight w:val="none"/>
        </w:rPr>
        <w:t xml:space="preserve">千伏及以上电力线路杆塔、拉线周围 </w:t>
      </w:r>
      <w:r>
        <w:rPr>
          <w:rFonts w:ascii="宋体" w:eastAsia="宋体" w:hAnsi="宋体" w:cs="宋体"/>
          <w:sz w:val="24"/>
          <w:szCs w:val="24"/>
          <w:highlight w:val="none"/>
        </w:rPr>
        <w:t xml:space="preserve">10 </w:t>
      </w:r>
      <w:r>
        <w:rPr>
          <w:rFonts w:ascii="宋体" w:eastAsia="宋体" w:hAnsi="宋体" w:cs="宋体" w:hint="eastAsia"/>
          <w:sz w:val="24"/>
          <w:szCs w:val="24"/>
          <w:highlight w:val="none"/>
        </w:rPr>
        <w:t xml:space="preserve">米的区域。 </w:t>
      </w:r>
    </w:p>
    <w:p>
      <w:pPr>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 xml:space="preserve">表 </w:t>
      </w:r>
      <w:r>
        <w:rPr>
          <w:rFonts w:ascii="宋体" w:eastAsia="宋体" w:hAnsi="宋体" w:cs="宋体"/>
          <w:b/>
          <w:bCs/>
          <w:szCs w:val="21"/>
          <w:highlight w:val="none"/>
        </w:rPr>
        <w:t>6</w:t>
      </w:r>
      <w:r>
        <w:rPr>
          <w:rFonts w:ascii="宋体" w:eastAsia="宋体" w:hAnsi="宋体" w:cs="宋体" w:hint="eastAsia"/>
          <w:b/>
          <w:bCs/>
          <w:szCs w:val="21"/>
          <w:highlight w:val="none"/>
        </w:rPr>
        <w:t>-8</w:t>
      </w:r>
      <w:r>
        <w:rPr>
          <w:rFonts w:ascii="宋体" w:eastAsia="宋体" w:hAnsi="宋体" w:cs="宋体"/>
          <w:b/>
          <w:bCs/>
          <w:szCs w:val="21"/>
          <w:highlight w:val="none"/>
        </w:rPr>
        <w:t xml:space="preserve"> </w:t>
      </w:r>
      <w:r>
        <w:rPr>
          <w:rFonts w:ascii="宋体" w:eastAsia="宋体" w:hAnsi="宋体" w:cs="宋体" w:hint="eastAsia"/>
          <w:b/>
          <w:bCs/>
          <w:szCs w:val="21"/>
          <w:highlight w:val="none"/>
        </w:rPr>
        <w:t>建筑物距架空电力线边缘最大风偏的安全距离表（单位：</w:t>
      </w:r>
      <w:r>
        <w:rPr>
          <w:rFonts w:ascii="宋体" w:eastAsia="宋体" w:hAnsi="宋体" w:cs="宋体"/>
          <w:b/>
          <w:bCs/>
          <w:szCs w:val="21"/>
          <w:highlight w:val="none"/>
        </w:rPr>
        <w:t>m</w:t>
      </w:r>
      <w:r>
        <w:rPr>
          <w:rFonts w:ascii="宋体" w:eastAsia="宋体" w:hAnsi="宋体" w:cs="宋体" w:hint="eastAsia"/>
          <w:b/>
          <w:bCs/>
          <w:szCs w:val="21"/>
          <w:highlight w:val="none"/>
        </w:rPr>
        <w:t>）</w:t>
      </w:r>
    </w:p>
    <w:p>
      <w:pPr>
        <w:spacing w:line="360" w:lineRule="auto"/>
        <w:jc w:val="center"/>
        <w:rPr>
          <w:rFonts w:ascii="宋体" w:eastAsia="宋体" w:hAnsi="宋体" w:cs="宋体"/>
          <w:sz w:val="24"/>
          <w:szCs w:val="24"/>
          <w:highlight w:val="none"/>
        </w:rPr>
      </w:pPr>
      <w:r>
        <w:rPr>
          <w:highlight w:val="none"/>
        </w:rPr>
        <w:drawing>
          <wp:inline distT="0" distB="0" distL="114300" distR="114300">
            <wp:extent cx="4716145" cy="1440180"/>
            <wp:effectExtent l="0" t="0" r="8255" b="762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xmlns:r="http://schemas.openxmlformats.org/officeDocument/2006/relationships" r:embed="rId40"/>
                    <a:stretch>
                      <a:fillRect/>
                    </a:stretch>
                  </pic:blipFill>
                  <pic:spPr>
                    <a:xfrm>
                      <a:off x="0" y="0"/>
                      <a:ext cx="4716145" cy="1440180"/>
                    </a:xfrm>
                    <a:prstGeom prst="rect">
                      <a:avLst/>
                    </a:prstGeom>
                    <a:noFill/>
                    <a:ln>
                      <a:noFill/>
                    </a:ln>
                  </pic:spPr>
                </pic:pic>
              </a:graphicData>
            </a:graphic>
          </wp:inline>
        </w:drawing>
      </w:r>
    </w:p>
    <w:p>
      <w:pPr>
        <w:spacing w:before="120" w:after="60" w:line="360" w:lineRule="auto"/>
        <w:ind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 xml:space="preserve">5、基站选址与河道的安全距离 </w:t>
      </w:r>
    </w:p>
    <w:p>
      <w:pPr>
        <w:spacing w:line="360" w:lineRule="auto"/>
        <w:ind w:firstLine="420" w:firstLineChars="200"/>
        <w:jc w:val="left"/>
        <w:rPr>
          <w:rFonts w:ascii="宋体" w:eastAsia="宋体" w:hAnsi="宋体" w:cs="宋体"/>
          <w:sz w:val="24"/>
          <w:highlight w:val="none"/>
        </w:rPr>
      </w:pPr>
      <w:r>
        <w:rPr>
          <w:rFonts w:ascii="宋体" w:eastAsia="宋体" w:hAnsi="宋体" w:cs="宋体" w:hint="eastAsia"/>
          <w:sz w:val="24"/>
          <w:highlight w:val="none"/>
        </w:rPr>
        <w:t>根据中华人民共和国通信行业标准《电信专用房屋设计规范》（</w:t>
      </w:r>
      <w:r>
        <w:rPr>
          <w:rFonts w:ascii="宋体" w:eastAsia="宋体" w:hAnsi="宋体" w:cs="宋体"/>
          <w:sz w:val="24"/>
          <w:highlight w:val="none"/>
        </w:rPr>
        <w:t>YD/T5003-2005</w:t>
      </w:r>
      <w:r>
        <w:rPr>
          <w:rFonts w:ascii="宋体" w:eastAsia="宋体" w:hAnsi="宋体" w:cs="宋体" w:hint="eastAsia"/>
          <w:sz w:val="24"/>
          <w:highlight w:val="none"/>
        </w:rPr>
        <w:t xml:space="preserve">）规定局、站址不应选择在易受洪水灌溉的地区。如无法避免时，可选在基地高程高于要求的计算洪水水位 </w:t>
      </w:r>
      <w:r>
        <w:rPr>
          <w:rFonts w:ascii="宋体" w:eastAsia="宋体" w:hAnsi="宋体" w:cs="宋体"/>
          <w:sz w:val="24"/>
          <w:highlight w:val="none"/>
        </w:rPr>
        <w:t xml:space="preserve">0.5M </w:t>
      </w:r>
      <w:r>
        <w:rPr>
          <w:rFonts w:ascii="宋体" w:eastAsia="宋体" w:hAnsi="宋体" w:cs="宋体" w:hint="eastAsia"/>
          <w:sz w:val="24"/>
          <w:highlight w:val="none"/>
        </w:rPr>
        <w:t>以上的地方，如仍达不到此要求时，应符合</w:t>
      </w:r>
      <w:r>
        <w:rPr>
          <w:rFonts w:ascii="宋体" w:eastAsia="宋体" w:hAnsi="宋体" w:cs="宋体"/>
          <w:sz w:val="24"/>
          <w:highlight w:val="none"/>
        </w:rPr>
        <w:t>GB50201-2014</w:t>
      </w:r>
      <w:r>
        <w:rPr>
          <w:rFonts w:ascii="宋体" w:eastAsia="宋体" w:hAnsi="宋体" w:cs="宋体" w:hint="eastAsia"/>
          <w:sz w:val="24"/>
          <w:highlight w:val="none"/>
        </w:rPr>
        <w:t>《防洪标准》的要求：</w:t>
      </w:r>
      <w:r>
        <w:rPr>
          <w:rFonts w:ascii="宋体" w:eastAsia="宋体" w:hAnsi="宋体" w:cs="宋体"/>
          <w:sz w:val="24"/>
          <w:highlight w:val="none"/>
        </w:rPr>
        <w:t>“</w:t>
      </w:r>
      <w:r>
        <w:rPr>
          <w:rFonts w:ascii="宋体" w:eastAsia="宋体" w:hAnsi="宋体" w:cs="宋体" w:hint="eastAsia"/>
          <w:sz w:val="24"/>
          <w:highlight w:val="none"/>
        </w:rPr>
        <w:t>城市已有防洪设施，并能保证建筑物的安全时，可不采取防洪措施，但应防止内涝对生产的影响。当城市没有设防时，电信建筑物应采取防洪措施。</w:t>
      </w:r>
      <w:r>
        <w:rPr>
          <w:rFonts w:ascii="宋体" w:eastAsia="宋体" w:hAnsi="宋体" w:cs="宋体"/>
          <w:sz w:val="24"/>
          <w:highlight w:val="none"/>
        </w:rPr>
        <w:t xml:space="preserve">” </w:t>
      </w:r>
    </w:p>
    <w:p>
      <w:pPr>
        <w:spacing w:before="120" w:after="60" w:line="360" w:lineRule="auto"/>
        <w:ind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6、基站选址与历史文化保护等相关领域的安全距离</w:t>
      </w:r>
    </w:p>
    <w:p>
      <w:pPr>
        <w:spacing w:line="360" w:lineRule="auto"/>
        <w:ind w:firstLine="420" w:firstLineChars="200"/>
        <w:jc w:val="left"/>
        <w:rPr>
          <w:rFonts w:ascii="宋体" w:eastAsia="宋体" w:hAnsi="宋体" w:cs="宋体"/>
          <w:sz w:val="24"/>
          <w:highlight w:val="none"/>
        </w:rPr>
      </w:pPr>
      <w:r>
        <w:rPr>
          <w:rFonts w:ascii="宋体" w:eastAsia="宋体" w:hAnsi="宋体" w:cs="宋体" w:hint="eastAsia"/>
          <w:sz w:val="24"/>
          <w:highlight w:val="none"/>
        </w:rPr>
        <w:t>根据中华人共 国《历史文化名城名镇名村保护条例》（2017修订），建设工程选址，应当尽可能避开历史建筑；因特殊情况不能避开的，应当尽可能实施原址保护。对历史建筑实施原址保护的，建设单位应当事先确定保护措施，报城市、县人民政府城乡规划主管部门会同同级文物主管部门批准。因公共利益需要进行建设活动，对历史建筑无法实施原址保护、必须迁移异地保护或者拆除的，应当由城市、县人民政府城乡规划主管部门会同同级文物主管部门，报省、自治区、直辖市人民政府确定的保护主管部门会同同级文物主管部门批准。</w:t>
      </w:r>
    </w:p>
    <w:p>
      <w:pPr>
        <w:spacing w:line="360" w:lineRule="auto"/>
        <w:ind w:firstLine="420" w:firstLineChars="200"/>
        <w:jc w:val="left"/>
        <w:rPr>
          <w:rFonts w:ascii="宋体" w:eastAsia="宋体" w:hAnsi="宋体" w:cs="宋体"/>
          <w:sz w:val="24"/>
          <w:highlight w:val="none"/>
        </w:rPr>
      </w:pPr>
      <w:r>
        <w:rPr>
          <w:rFonts w:ascii="宋体" w:eastAsia="宋体" w:hAnsi="宋体" w:cs="宋体" w:hint="eastAsia"/>
          <w:sz w:val="24"/>
          <w:highlight w:val="none"/>
        </w:rPr>
        <w:t>因此电信企业在开展5G基站等基础通信设施建设时，如需在历史文物保护区等重点区域进行建设，应严格遵守国家及地方出台的法律法规条例，并征得相关主管部门报批，满足相关规定的条件的情况下方可开工建设。</w:t>
      </w:r>
    </w:p>
    <w:p>
      <w:pPr>
        <w:spacing w:line="360" w:lineRule="auto"/>
        <w:ind w:firstLine="420" w:firstLineChars="200"/>
        <w:jc w:val="left"/>
        <w:rPr>
          <w:rFonts w:ascii="宋体" w:eastAsia="宋体" w:hAnsi="宋体" w:cs="宋体"/>
          <w:b/>
          <w:bCs/>
          <w:sz w:val="24"/>
          <w:highlight w:val="none"/>
        </w:rPr>
      </w:pPr>
      <w:r>
        <w:rPr>
          <w:rFonts w:ascii="宋体" w:eastAsia="宋体" w:hAnsi="宋体" w:cs="宋体" w:hint="eastAsia"/>
          <w:b/>
          <w:bCs/>
          <w:sz w:val="24"/>
          <w:highlight w:val="none"/>
        </w:rPr>
        <w:t>历史文化保护及相关景区5G基站建设案例展示：</w:t>
      </w:r>
    </w:p>
    <w:p>
      <w:pPr>
        <w:spacing w:line="360" w:lineRule="auto"/>
        <w:ind w:firstLine="420" w:firstLineChars="200"/>
        <w:jc w:val="left"/>
        <w:rPr>
          <w:rFonts w:ascii="宋体" w:eastAsia="宋体" w:hAnsi="宋体" w:cs="宋体"/>
          <w:sz w:val="24"/>
          <w:highlight w:val="none"/>
        </w:rPr>
      </w:pPr>
      <w:r>
        <w:rPr>
          <w:rFonts w:ascii="宋体" w:eastAsia="宋体" w:hAnsi="宋体" w:cs="宋体" w:hint="eastAsia"/>
          <w:sz w:val="24"/>
          <w:highlight w:val="none"/>
        </w:rPr>
        <w:t>（1）北海老街5G基站情况分析：现状基站 2 个，新建基站 1 个，采用微基站方式悬挂在监控杆上，对老街文化建筑无影响。如图6-1和图6-2分别为北海老街5G基站现状及新建规划示意图和北海老街5G基站现状实景图。</w:t>
      </w:r>
    </w:p>
    <w:p>
      <w:pPr>
        <w:spacing w:line="360" w:lineRule="auto"/>
        <w:jc w:val="left"/>
        <w:rPr>
          <w:highlight w:val="none"/>
        </w:rPr>
      </w:pPr>
      <w:r>
        <w:rPr>
          <w:highlight w:val="none"/>
        </w:rPr>
        <w:drawing>
          <wp:inline distT="0" distB="0" distL="114300" distR="114300">
            <wp:extent cx="6380480" cy="4403090"/>
            <wp:effectExtent l="0" t="0" r="5080" b="127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xmlns:r="http://schemas.openxmlformats.org/officeDocument/2006/relationships" r:embed="rId41"/>
                    <a:stretch>
                      <a:fillRect/>
                    </a:stretch>
                  </pic:blipFill>
                  <pic:spPr>
                    <a:xfrm>
                      <a:off x="0" y="0"/>
                      <a:ext cx="6380480" cy="4403090"/>
                    </a:xfrm>
                    <a:prstGeom prst="rect">
                      <a:avLst/>
                    </a:prstGeom>
                    <a:noFill/>
                    <a:ln>
                      <a:noFill/>
                    </a:ln>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图6-1北海老街5G基站现状及新建规划示意图</w:t>
      </w:r>
    </w:p>
    <w:p>
      <w:pPr>
        <w:spacing w:line="360" w:lineRule="auto"/>
        <w:jc w:val="center"/>
        <w:rPr>
          <w:highlight w:val="none"/>
        </w:rPr>
      </w:pPr>
      <w:r>
        <w:rPr>
          <w:highlight w:val="none"/>
        </w:rPr>
        <w:drawing>
          <wp:inline distT="0" distB="0" distL="114300" distR="114300">
            <wp:extent cx="5186045" cy="3874770"/>
            <wp:effectExtent l="0" t="0" r="10795" b="1143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xmlns:r="http://schemas.openxmlformats.org/officeDocument/2006/relationships" r:embed="rId42"/>
                    <a:stretch>
                      <a:fillRect/>
                    </a:stretch>
                  </pic:blipFill>
                  <pic:spPr>
                    <a:xfrm>
                      <a:off x="0" y="0"/>
                      <a:ext cx="5186045" cy="3874770"/>
                    </a:xfrm>
                    <a:prstGeom prst="rect">
                      <a:avLst/>
                    </a:prstGeom>
                    <a:noFill/>
                    <a:ln>
                      <a:noFill/>
                    </a:ln>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图6-2北海老街5G基站现状实景图</w:t>
      </w:r>
    </w:p>
    <w:p>
      <w:pPr>
        <w:spacing w:line="360" w:lineRule="auto"/>
        <w:jc w:val="center"/>
        <w:rPr>
          <w:rFonts w:ascii="宋体" w:eastAsia="宋体" w:hAnsi="宋体" w:cs="宋体"/>
          <w:b/>
          <w:bCs/>
          <w:szCs w:val="21"/>
          <w:highlight w:val="none"/>
        </w:rPr>
      </w:pPr>
    </w:p>
    <w:p>
      <w:pPr>
        <w:spacing w:line="360" w:lineRule="auto"/>
        <w:ind w:left="420" w:firstLine="420" w:leftChars="200" w:firstLineChars="200"/>
        <w:jc w:val="left"/>
        <w:rPr>
          <w:rFonts w:ascii="宋体" w:eastAsia="宋体" w:hAnsi="宋体" w:cs="宋体"/>
          <w:sz w:val="24"/>
          <w:highlight w:val="none"/>
        </w:rPr>
      </w:pPr>
      <w:r>
        <w:rPr>
          <w:rFonts w:ascii="宋体" w:eastAsia="宋体" w:hAnsi="宋体" w:cs="宋体" w:hint="eastAsia"/>
          <w:b/>
          <w:bCs/>
          <w:sz w:val="24"/>
          <w:highlight w:val="none"/>
        </w:rPr>
        <w:t>（2）北海银滩景区5G基站情况分析：</w:t>
      </w:r>
      <w:r>
        <w:rPr>
          <w:rFonts w:ascii="宋体" w:eastAsia="宋体" w:hAnsi="宋体" w:cs="宋体" w:hint="eastAsia"/>
          <w:sz w:val="24"/>
          <w:highlight w:val="none"/>
        </w:rPr>
        <w:t>现状基站1个，新建基站3个，目前现状基站是采用微站形式悬挂在景观造型的杆上，对风景区环境无影响。如图6-3和图6-4分别为北海银滩风景区5G基站现状及新建规划示意图和北海银滩风景区5G基站现状实景图。</w:t>
      </w:r>
    </w:p>
    <w:p>
      <w:pPr>
        <w:spacing w:line="360" w:lineRule="auto"/>
        <w:ind w:left="420" w:firstLine="420" w:leftChars="200" w:firstLineChars="200"/>
        <w:jc w:val="left"/>
        <w:rPr>
          <w:rFonts w:ascii="宋体" w:eastAsia="宋体" w:hAnsi="宋体" w:cs="宋体"/>
          <w:sz w:val="24"/>
          <w:highlight w:val="none"/>
        </w:rPr>
      </w:pPr>
      <w:r>
        <w:rPr>
          <w:rFonts w:ascii="宋体" w:eastAsia="宋体" w:hAnsi="宋体" w:cs="宋体" w:hint="eastAsia"/>
          <w:b/>
          <w:bCs/>
          <w:sz w:val="24"/>
          <w:highlight w:val="none"/>
        </w:rPr>
        <w:t>（3）其它部分景区案例分析：</w:t>
      </w:r>
      <w:r>
        <w:rPr>
          <w:rFonts w:ascii="宋体" w:eastAsia="宋体" w:hAnsi="宋体" w:cs="宋体" w:hint="eastAsia"/>
          <w:sz w:val="24"/>
          <w:highlight w:val="none"/>
        </w:rPr>
        <w:t>如图6-5所示为合浦焊合文化宫基站示意图，结合周边绿化环境，采用仿生树方式建设，且对建筑及周边环境等主要节点保持合理距离，对环境无影响。</w:t>
      </w:r>
    </w:p>
    <w:p>
      <w:pPr>
        <w:spacing w:line="360" w:lineRule="auto"/>
        <w:ind w:left="420" w:firstLine="420" w:leftChars="200" w:firstLineChars="200"/>
        <w:jc w:val="left"/>
        <w:rPr>
          <w:rFonts w:ascii="宋体" w:eastAsia="宋体" w:hAnsi="宋体" w:cs="宋体"/>
          <w:sz w:val="24"/>
          <w:highlight w:val="none"/>
        </w:rPr>
      </w:pPr>
      <w:r>
        <w:rPr>
          <w:rFonts w:ascii="宋体" w:eastAsia="宋体" w:hAnsi="宋体" w:cs="宋体" w:hint="eastAsia"/>
          <w:sz w:val="24"/>
          <w:highlight w:val="none"/>
        </w:rPr>
        <w:t>综上所述：</w:t>
      </w:r>
      <w:r>
        <w:rPr>
          <w:rFonts w:ascii="宋体" w:eastAsia="宋体" w:hAnsi="宋体" w:cs="宋体"/>
          <w:sz w:val="24"/>
          <w:highlight w:val="none"/>
        </w:rPr>
        <w:t>结合历史文化保护建筑等相关领域的环境，因地制宜，选择适宜的5G基站建设方式，不对环境产生破坏。</w:t>
      </w:r>
    </w:p>
    <w:p>
      <w:pPr>
        <w:spacing w:line="360" w:lineRule="auto"/>
        <w:ind w:left="420" w:leftChars="200"/>
        <w:jc w:val="left"/>
        <w:rPr>
          <w:rFonts w:ascii="宋体" w:eastAsia="宋体" w:hAnsi="宋体" w:cs="宋体"/>
          <w:sz w:val="24"/>
          <w:highlight w:val="none"/>
        </w:rPr>
      </w:pPr>
    </w:p>
    <w:p>
      <w:pPr>
        <w:spacing w:line="360" w:lineRule="auto"/>
        <w:jc w:val="center"/>
        <w:rPr>
          <w:rFonts w:ascii="宋体" w:eastAsia="宋体" w:hAnsi="宋体" w:cs="宋体"/>
          <w:sz w:val="24"/>
          <w:highlight w:val="none"/>
        </w:rPr>
      </w:pPr>
      <w:r>
        <w:rPr>
          <w:highlight w:val="none"/>
        </w:rPr>
        <w:drawing>
          <wp:inline distT="0" distB="0" distL="114300" distR="114300">
            <wp:extent cx="5628005" cy="3336925"/>
            <wp:effectExtent l="0" t="0" r="10795" b="63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xmlns:r="http://schemas.openxmlformats.org/officeDocument/2006/relationships" r:embed="rId43"/>
                    <a:stretch>
                      <a:fillRect/>
                    </a:stretch>
                  </pic:blipFill>
                  <pic:spPr>
                    <a:xfrm>
                      <a:off x="0" y="0"/>
                      <a:ext cx="5628005" cy="3336925"/>
                    </a:xfrm>
                    <a:prstGeom prst="rect">
                      <a:avLst/>
                    </a:prstGeom>
                    <a:noFill/>
                    <a:ln>
                      <a:noFill/>
                    </a:ln>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图6-3北海银滩风景区5G基站现状及新建规划示意图</w:t>
      </w:r>
    </w:p>
    <w:p>
      <w:pPr>
        <w:spacing w:line="360" w:lineRule="auto"/>
        <w:jc w:val="center"/>
        <w:rPr>
          <w:rFonts w:ascii="宋体" w:eastAsia="宋体" w:hAnsi="宋体" w:cs="宋体"/>
          <w:b/>
          <w:bCs/>
          <w:szCs w:val="21"/>
          <w:highlight w:val="none"/>
        </w:rPr>
      </w:pPr>
    </w:p>
    <w:p>
      <w:pPr>
        <w:spacing w:line="360" w:lineRule="auto"/>
        <w:jc w:val="center"/>
        <w:rPr>
          <w:highlight w:val="none"/>
        </w:rPr>
      </w:pPr>
      <w:r>
        <w:rPr>
          <w:highlight w:val="none"/>
        </w:rPr>
        <w:drawing>
          <wp:inline distT="0" distB="0" distL="114300" distR="114300">
            <wp:extent cx="2525395" cy="3382645"/>
            <wp:effectExtent l="0" t="0" r="4445" b="635"/>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xmlns:r="http://schemas.openxmlformats.org/officeDocument/2006/relationships" r:embed="rId44"/>
                    <a:stretch>
                      <a:fillRect/>
                    </a:stretch>
                  </pic:blipFill>
                  <pic:spPr>
                    <a:xfrm>
                      <a:off x="0" y="0"/>
                      <a:ext cx="2525395" cy="3382645"/>
                    </a:xfrm>
                    <a:prstGeom prst="rect">
                      <a:avLst/>
                    </a:prstGeom>
                  </pic:spPr>
                </pic:pic>
              </a:graphicData>
            </a:graphic>
          </wp:inline>
        </w:drawing>
      </w:r>
      <w:r>
        <w:rPr>
          <w:rFonts w:hint="eastAsia"/>
          <w:highlight w:val="none"/>
        </w:rPr>
        <w:t xml:space="preserve">      </w:t>
      </w:r>
      <w:r>
        <w:rPr>
          <w:highlight w:val="none"/>
        </w:rPr>
        <w:drawing>
          <wp:inline distT="0" distB="0" distL="114300" distR="114300">
            <wp:extent cx="2529840" cy="3373755"/>
            <wp:effectExtent l="0" t="0" r="0" b="9525"/>
            <wp:docPr id="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6"/>
                    <pic:cNvPicPr>
                      <a:picLocks noChangeAspect="1"/>
                    </pic:cNvPicPr>
                  </pic:nvPicPr>
                  <pic:blipFill>
                    <a:blip xmlns:r="http://schemas.openxmlformats.org/officeDocument/2006/relationships" r:embed="rId45"/>
                    <a:stretch>
                      <a:fillRect/>
                    </a:stretch>
                  </pic:blipFill>
                  <pic:spPr>
                    <a:xfrm>
                      <a:off x="0" y="0"/>
                      <a:ext cx="2529840" cy="3373755"/>
                    </a:xfrm>
                    <a:prstGeom prst="rect">
                      <a:avLst/>
                    </a:prstGeom>
                  </pic:spPr>
                </pic:pic>
              </a:graphicData>
            </a:graphic>
          </wp:inline>
        </w:drawing>
      </w:r>
    </w:p>
    <w:p>
      <w:pPr>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 xml:space="preserve">   图6-4北海银滩风景区5G基站现状实景图     图6-5北海合浦焊合文化宫5G基站现状实景图</w:t>
      </w:r>
    </w:p>
    <w:p>
      <w:pPr>
        <w:spacing w:line="360" w:lineRule="auto"/>
        <w:rPr>
          <w:rFonts w:ascii="宋体" w:eastAsia="宋体" w:hAnsi="宋体" w:cs="宋体"/>
          <w:b/>
          <w:bCs/>
          <w:szCs w:val="21"/>
          <w:highlight w:val="none"/>
        </w:rPr>
      </w:pPr>
    </w:p>
    <w:p>
      <w:pPr>
        <w:spacing w:line="360" w:lineRule="auto"/>
        <w:jc w:val="center"/>
        <w:rPr>
          <w:highlight w:val="none"/>
        </w:rPr>
      </w:pPr>
    </w:p>
    <w:p>
      <w:pPr>
        <w:spacing w:before="120" w:after="60" w:line="360" w:lineRule="auto"/>
        <w:ind w:firstLine="420" w:firstLineChars="200"/>
        <w:rPr>
          <w:rFonts w:ascii="宋体" w:eastAsia="宋体" w:hAnsi="宋体" w:cs="宋体"/>
          <w:b/>
          <w:bCs/>
          <w:sz w:val="24"/>
          <w:szCs w:val="24"/>
          <w:highlight w:val="none"/>
        </w:rPr>
      </w:pPr>
      <w:r>
        <w:rPr>
          <w:rFonts w:ascii="宋体" w:eastAsia="宋体" w:hAnsi="宋体" w:cs="宋体" w:hint="eastAsia"/>
          <w:b/>
          <w:bCs/>
          <w:sz w:val="24"/>
          <w:szCs w:val="24"/>
          <w:highlight w:val="none"/>
        </w:rPr>
        <w:t>7、基站选址与加油站的安全距离</w:t>
      </w:r>
    </w:p>
    <w:p>
      <w:pPr>
        <w:pStyle w:val="ListParagraph"/>
        <w:spacing w:line="360" w:lineRule="auto"/>
        <w:ind w:firstLine="480"/>
        <w:rPr>
          <w:rFonts w:ascii="宋体" w:eastAsia="宋体" w:hAnsi="宋体" w:cs="宋体"/>
          <w:sz w:val="24"/>
          <w:highlight w:val="none"/>
        </w:rPr>
      </w:pPr>
      <w:r>
        <w:rPr>
          <w:rFonts w:ascii="宋体" w:eastAsia="宋体" w:hAnsi="宋体" w:cs="宋体" w:hint="eastAsia"/>
          <w:sz w:val="24"/>
          <w:highlight w:val="none"/>
        </w:rPr>
        <w:t>基站站址应与加油加气站保持一定的距离，基站与加油加气站的安全距离与加油加气站类型有关，详细规定主要依据《汽车加油加气加氢站技术标准》GB 50156-2021第4.04～4.09章节内容。其中基站选址与汽油（柴油）工艺设备的安全距离可参考下表。</w:t>
      </w:r>
    </w:p>
    <w:p>
      <w:pPr>
        <w:pStyle w:val="ListParagraph"/>
        <w:spacing w:line="360" w:lineRule="auto"/>
        <w:ind w:firstLine="0" w:firstLineChars="0"/>
        <w:jc w:val="center"/>
        <w:rPr>
          <w:highlight w:val="none"/>
        </w:rPr>
      </w:pPr>
      <w:r>
        <w:rPr>
          <w:highlight w:val="none"/>
        </w:rPr>
        <w:drawing>
          <wp:inline distT="0" distB="0" distL="114300" distR="114300">
            <wp:extent cx="4846320" cy="4116070"/>
            <wp:effectExtent l="0" t="0" r="11430" b="17780"/>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xmlns:r="http://schemas.openxmlformats.org/officeDocument/2006/relationships" r:embed="rId46"/>
                    <a:stretch>
                      <a:fillRect/>
                    </a:stretch>
                  </pic:blipFill>
                  <pic:spPr>
                    <a:xfrm>
                      <a:off x="0" y="0"/>
                      <a:ext cx="4846320" cy="4116070"/>
                    </a:xfrm>
                    <a:prstGeom prst="rect">
                      <a:avLst/>
                    </a:prstGeom>
                    <a:noFill/>
                    <a:ln>
                      <a:noFill/>
                    </a:ln>
                  </pic:spPr>
                </pic:pic>
              </a:graphicData>
            </a:graphic>
          </wp:inline>
        </w:drawing>
      </w:r>
    </w:p>
    <w:p>
      <w:pPr>
        <w:pStyle w:val="ListParagraph"/>
        <w:spacing w:line="360" w:lineRule="auto"/>
        <w:ind w:firstLine="0" w:firstLineChars="0"/>
        <w:jc w:val="center"/>
        <w:rPr>
          <w:highlight w:val="none"/>
        </w:rPr>
      </w:pPr>
      <w:r>
        <w:rPr>
          <w:highlight w:val="none"/>
        </w:rPr>
        <w:drawing>
          <wp:inline distT="0" distB="0" distL="114300" distR="114300">
            <wp:extent cx="4975225" cy="6924675"/>
            <wp:effectExtent l="0" t="0" r="15875" b="952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xmlns:r="http://schemas.openxmlformats.org/officeDocument/2006/relationships" r:embed="rId47"/>
                    <a:stretch>
                      <a:fillRect/>
                    </a:stretch>
                  </pic:blipFill>
                  <pic:spPr>
                    <a:xfrm>
                      <a:off x="0" y="0"/>
                      <a:ext cx="4975225" cy="6924675"/>
                    </a:xfrm>
                    <a:prstGeom prst="rect">
                      <a:avLst/>
                    </a:prstGeom>
                    <a:noFill/>
                    <a:ln>
                      <a:noFill/>
                    </a:ln>
                  </pic:spPr>
                </pic:pic>
              </a:graphicData>
            </a:graphic>
          </wp:inline>
        </w:drawing>
      </w:r>
    </w:p>
    <w:p>
      <w:pPr>
        <w:pStyle w:val="ListParagraph"/>
        <w:spacing w:line="360" w:lineRule="auto"/>
        <w:ind w:left="899" w:hanging="420" w:leftChars="228" w:hangingChars="200"/>
        <w:rPr>
          <w:rFonts w:ascii="宋体" w:eastAsia="宋体" w:hAnsi="宋体" w:cs="宋体"/>
          <w:sz w:val="24"/>
          <w:szCs w:val="24"/>
          <w:highlight w:val="none"/>
        </w:rPr>
      </w:pPr>
    </w:p>
    <w:p>
      <w:pPr>
        <w:pStyle w:val="ListParagraph"/>
        <w:spacing w:line="360" w:lineRule="auto"/>
        <w:ind w:left="899" w:hanging="420" w:leftChars="228" w:hangingChars="200"/>
        <w:rPr>
          <w:rFonts w:ascii="宋体" w:eastAsia="宋体" w:hAnsi="宋体" w:cs="宋体"/>
          <w:sz w:val="24"/>
          <w:szCs w:val="24"/>
          <w:highlight w:val="none"/>
        </w:rPr>
      </w:pPr>
    </w:p>
    <w:p>
      <w:pPr>
        <w:pStyle w:val="ListParagraph"/>
        <w:spacing w:line="360" w:lineRule="auto"/>
        <w:ind w:left="899" w:hanging="420" w:leftChars="228" w:hangingChars="200"/>
        <w:rPr>
          <w:rFonts w:ascii="宋体" w:eastAsia="宋体" w:hAnsi="宋体" w:cs="宋体"/>
          <w:sz w:val="24"/>
          <w:szCs w:val="24"/>
          <w:highlight w:val="none"/>
        </w:rPr>
      </w:pPr>
    </w:p>
    <w:p>
      <w:pPr>
        <w:pStyle w:val="ListParagraph"/>
        <w:spacing w:line="360" w:lineRule="auto"/>
        <w:ind w:left="899" w:hanging="420" w:leftChars="228" w:hangingChars="200"/>
        <w:rPr>
          <w:rFonts w:ascii="宋体" w:eastAsia="宋体" w:hAnsi="宋体" w:cs="宋体"/>
          <w:sz w:val="24"/>
          <w:szCs w:val="24"/>
          <w:highlight w:val="none"/>
        </w:rPr>
      </w:pPr>
    </w:p>
    <w:p>
      <w:pPr>
        <w:pStyle w:val="Default"/>
        <w:ind w:firstLine="420" w:firstLineChars="200"/>
        <w:rPr>
          <w:rFonts w:hAnsi="宋体"/>
          <w:b/>
          <w:color w:val="auto"/>
          <w:kern w:val="2"/>
          <w:sz w:val="28"/>
          <w:szCs w:val="28"/>
          <w:highlight w:val="none"/>
        </w:rPr>
      </w:pPr>
      <w:r>
        <w:rPr>
          <w:rFonts w:hAnsi="宋体" w:hint="eastAsia"/>
          <w:b/>
          <w:color w:val="auto"/>
          <w:kern w:val="2"/>
          <w:sz w:val="28"/>
          <w:szCs w:val="28"/>
          <w:highlight w:val="none"/>
        </w:rPr>
        <w:t>五、各场景建设指引</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根据本章节上述原则可以将北海市各城区域细化到以下各个场景中： </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（一）公共绿地、广场、景区</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此类场景建筑物相对较少，无线信号空间传播损耗小，绿化程度高，环境匹 </w:t>
      </w:r>
    </w:p>
    <w:p>
      <w:pPr>
        <w:widowControl/>
        <w:spacing w:line="360" w:lineRule="auto"/>
        <w:rPr>
          <w:rFonts w:ascii="宋体" w:eastAsia="宋体" w:hAnsi="宋体" w:cs="宋体"/>
          <w:sz w:val="24"/>
          <w:highlight w:val="none"/>
        </w:rPr>
      </w:pPr>
      <w:r>
        <w:rPr>
          <w:rFonts w:ascii="宋体" w:eastAsia="宋体" w:hAnsi="宋体" w:cs="宋体" w:hint="eastAsia"/>
          <w:sz w:val="24"/>
          <w:highlight w:val="none"/>
        </w:rPr>
        <w:t xml:space="preserve">配度要求高。综合考虑各类因素后，建议此类场景基站建设方案如下：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站址选取位置：以该场景整体布局结构为导向，不影响整体结构布局，符合 </w:t>
      </w:r>
    </w:p>
    <w:p>
      <w:pPr>
        <w:widowControl/>
        <w:spacing w:line="360" w:lineRule="auto"/>
        <w:rPr>
          <w:rFonts w:ascii="宋体" w:eastAsia="宋体" w:hAnsi="宋体" w:cs="宋体"/>
          <w:sz w:val="24"/>
          <w:highlight w:val="none"/>
        </w:rPr>
      </w:pPr>
      <w:r>
        <w:rPr>
          <w:rFonts w:ascii="宋体" w:eastAsia="宋体" w:hAnsi="宋体" w:cs="宋体" w:hint="eastAsia"/>
          <w:sz w:val="24"/>
          <w:highlight w:val="none"/>
        </w:rPr>
        <w:t xml:space="preserve">园林美观要求。可选取路边绿地、广场灯杆、建筑物顶等位置。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塔型选取：以景观塔、落地杆塔为主。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高度控制：铁塔高度控制在</w:t>
      </w:r>
      <w:r>
        <w:rPr>
          <w:rFonts w:ascii="宋体" w:eastAsia="宋体" w:hAnsi="宋体" w:cs="宋体"/>
          <w:sz w:val="24"/>
          <w:highlight w:val="none"/>
        </w:rPr>
        <w:t>30—40</w:t>
      </w:r>
      <w:r>
        <w:rPr>
          <w:rFonts w:ascii="宋体" w:eastAsia="宋体" w:hAnsi="宋体" w:cs="宋体" w:hint="eastAsia"/>
          <w:sz w:val="24"/>
          <w:highlight w:val="none"/>
        </w:rPr>
        <w:t xml:space="preserve">米。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机房类型：优先利旧、租赁机房，无法利旧、租赁的考虑新建机房。塔型为景观塔的站址，新建机房类型建议采用一体化机柜，对于景观要求特别高的场景可新建美化机房，以保持环境协调。 </w:t>
      </w:r>
    </w:p>
    <w:p>
      <w:pPr>
        <w:widowControl/>
        <w:spacing w:line="360" w:lineRule="auto"/>
        <w:ind w:firstLine="420" w:firstLineChars="200"/>
        <w:jc w:val="center"/>
        <w:rPr>
          <w:rFonts w:ascii="宋体" w:eastAsia="宋体" w:hAnsi="宋体" w:cs="宋体"/>
          <w:sz w:val="24"/>
          <w:highlight w:val="none"/>
        </w:rPr>
      </w:pPr>
      <w:r>
        <w:rPr>
          <w:highlight w:val="none"/>
        </w:rPr>
        <w:drawing>
          <wp:inline distT="0" distB="0" distL="114300" distR="114300">
            <wp:extent cx="4253865" cy="3159125"/>
            <wp:effectExtent l="0" t="0" r="13335" b="317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xmlns:r="http://schemas.openxmlformats.org/officeDocument/2006/relationships" r:embed="rId48"/>
                    <a:stretch>
                      <a:fillRect/>
                    </a:stretch>
                  </pic:blipFill>
                  <pic:spPr>
                    <a:xfrm>
                      <a:off x="0" y="0"/>
                      <a:ext cx="4253865" cy="3159125"/>
                    </a:xfrm>
                    <a:prstGeom prst="rect">
                      <a:avLst/>
                    </a:prstGeom>
                    <a:noFill/>
                    <a:ln>
                      <a:noFill/>
                    </a:ln>
                  </pic:spPr>
                </pic:pic>
              </a:graphicData>
            </a:graphic>
          </wp:inline>
        </w:drawing>
      </w:r>
    </w:p>
    <w:p>
      <w:pPr>
        <w:widowControl/>
        <w:spacing w:line="360" w:lineRule="auto"/>
        <w:ind w:firstLine="420" w:firstLineChars="200"/>
        <w:jc w:val="center"/>
        <w:rPr>
          <w:rFonts w:ascii="宋体" w:eastAsia="宋体" w:hAnsi="宋体" w:cs="宋体"/>
          <w:sz w:val="24"/>
          <w:highlight w:val="none"/>
        </w:rPr>
      </w:pPr>
      <w:r>
        <w:rPr>
          <w:rFonts w:ascii="宋体" w:eastAsia="宋体" w:hAnsi="宋体" w:cs="宋体" w:hint="eastAsia"/>
          <w:sz w:val="24"/>
          <w:highlight w:val="none"/>
        </w:rPr>
        <w:t>图</w:t>
      </w:r>
      <w:r>
        <w:rPr>
          <w:rFonts w:ascii="宋体" w:eastAsia="宋体" w:hAnsi="宋体" w:cs="宋体"/>
          <w:sz w:val="24"/>
          <w:highlight w:val="none"/>
        </w:rPr>
        <w:t>6</w:t>
      </w:r>
      <w:r>
        <w:rPr>
          <w:rFonts w:ascii="宋体" w:eastAsia="宋体" w:hAnsi="宋体" w:cs="宋体" w:hint="eastAsia"/>
          <w:sz w:val="24"/>
          <w:highlight w:val="none"/>
        </w:rPr>
        <w:t>-1</w:t>
      </w:r>
      <w:r>
        <w:rPr>
          <w:rFonts w:ascii="宋体" w:eastAsia="宋体" w:hAnsi="宋体" w:cs="宋体"/>
          <w:sz w:val="24"/>
          <w:highlight w:val="none"/>
        </w:rPr>
        <w:t xml:space="preserve"> </w:t>
      </w:r>
      <w:r>
        <w:rPr>
          <w:rFonts w:ascii="宋体" w:eastAsia="宋体" w:hAnsi="宋体" w:cs="宋体" w:hint="eastAsia"/>
          <w:sz w:val="24"/>
          <w:highlight w:val="none"/>
        </w:rPr>
        <w:t>公共绿地、广场、景区建设示意图</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 城市道路</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此类场景主要覆盖道路及周边建筑物，电磁传播环境较为复杂，市容环境要求较为严格。综合考虑各类因素后，建议此类场景基站建设方案如下：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站址选取位置：道路两旁绿化带、道路红线内绿化分隔岛、道路两旁路灯位置、沿街建筑物顶等。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塔型选取：以路灯塔、景观塔、多功能杆塔为主。</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高度控制：天线挂高控制在</w:t>
      </w:r>
      <w:r>
        <w:rPr>
          <w:rFonts w:ascii="宋体" w:eastAsia="宋体" w:hAnsi="宋体" w:cs="宋体"/>
          <w:sz w:val="24"/>
          <w:highlight w:val="none"/>
        </w:rPr>
        <w:t>25—40</w:t>
      </w:r>
      <w:r>
        <w:rPr>
          <w:rFonts w:ascii="宋体" w:eastAsia="宋体" w:hAnsi="宋体" w:cs="宋体" w:hint="eastAsia"/>
          <w:sz w:val="24"/>
          <w:highlight w:val="none"/>
        </w:rPr>
        <w:t>米。</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机房类型：优先利旧、租赁机房，无法利旧、租赁的考虑新建一体化机柜，对于城市景观要求特别高的场景可新建美化机房，以保持环境协调。</w:t>
      </w:r>
    </w:p>
    <w:p>
      <w:pPr>
        <w:widowControl/>
        <w:spacing w:line="360" w:lineRule="auto"/>
        <w:jc w:val="center"/>
        <w:rPr>
          <w:rFonts w:ascii="宋体" w:eastAsia="宋体" w:hAnsi="宋体" w:cs="宋体"/>
          <w:sz w:val="24"/>
          <w:highlight w:val="none"/>
        </w:rPr>
      </w:pPr>
      <w:r>
        <w:rPr>
          <w:highlight w:val="none"/>
        </w:rPr>
        <w:drawing>
          <wp:inline distT="0" distB="0" distL="114300" distR="114300">
            <wp:extent cx="4899025" cy="2740660"/>
            <wp:effectExtent l="0" t="0" r="15875" b="254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xmlns:r="http://schemas.openxmlformats.org/officeDocument/2006/relationships" r:embed="rId49"/>
                    <a:stretch>
                      <a:fillRect/>
                    </a:stretch>
                  </pic:blipFill>
                  <pic:spPr>
                    <a:xfrm>
                      <a:off x="0" y="0"/>
                      <a:ext cx="4899025" cy="2740660"/>
                    </a:xfrm>
                    <a:prstGeom prst="rect">
                      <a:avLst/>
                    </a:prstGeom>
                    <a:noFill/>
                    <a:ln>
                      <a:noFill/>
                    </a:ln>
                  </pic:spPr>
                </pic:pic>
              </a:graphicData>
            </a:graphic>
          </wp:inline>
        </w:drawing>
      </w:r>
    </w:p>
    <w:p>
      <w:pPr>
        <w:widowControl/>
        <w:spacing w:line="360" w:lineRule="auto"/>
        <w:jc w:val="center"/>
        <w:rPr>
          <w:rFonts w:ascii="宋体" w:eastAsia="宋体" w:hAnsi="宋体" w:cs="宋体"/>
          <w:sz w:val="24"/>
          <w:highlight w:val="none"/>
        </w:rPr>
      </w:pPr>
      <w:r>
        <w:rPr>
          <w:rFonts w:ascii="宋体" w:eastAsia="宋体" w:hAnsi="宋体" w:cs="宋体" w:hint="eastAsia"/>
          <w:sz w:val="24"/>
          <w:highlight w:val="none"/>
        </w:rPr>
        <w:t>图</w:t>
      </w:r>
      <w:r>
        <w:rPr>
          <w:rFonts w:ascii="宋体" w:eastAsia="宋体" w:hAnsi="宋体" w:cs="宋体"/>
          <w:sz w:val="24"/>
          <w:highlight w:val="none"/>
        </w:rPr>
        <w:t>6</w:t>
      </w:r>
      <w:r>
        <w:rPr>
          <w:rFonts w:ascii="宋体" w:eastAsia="宋体" w:hAnsi="宋体" w:cs="宋体" w:hint="eastAsia"/>
          <w:sz w:val="24"/>
          <w:highlight w:val="none"/>
        </w:rPr>
        <w:t>-2 城市道路建设示意图</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 xml:space="preserve">（三）行政办公区、商务办公区、商业金融区等大型公共建筑区域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此类区域建筑物密集度高，且高层建筑物较多，电磁传播环境复杂，市容环境要求较为严格。移动用户较为集中，网络容量需求大。综合考虑各类因素后，建议此类场景基站建设方案如下：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站址选取位置：主要建设在不高于周边建筑物平均高度</w:t>
      </w:r>
      <w:r>
        <w:rPr>
          <w:rFonts w:ascii="宋体" w:eastAsia="宋体" w:hAnsi="宋体" w:cs="宋体"/>
          <w:sz w:val="24"/>
          <w:highlight w:val="none"/>
        </w:rPr>
        <w:t>10</w:t>
      </w:r>
      <w:r>
        <w:rPr>
          <w:rFonts w:ascii="宋体" w:eastAsia="宋体" w:hAnsi="宋体" w:cs="宋体" w:hint="eastAsia"/>
          <w:sz w:val="24"/>
          <w:highlight w:val="none"/>
        </w:rPr>
        <w:t xml:space="preserve">米以上的建筑物顶；对于确实无法在建筑物顶上建设的站址可考虑地面建设。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塔型选取：站址选取优先选址在建筑物顶新建楼面站；站址选取在地面的以落地景观塔为主，对于老旧区域可采用落地杆塔等建设。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高度控制：天线挂高控制在</w:t>
      </w:r>
      <w:r>
        <w:rPr>
          <w:rFonts w:ascii="宋体" w:eastAsia="宋体" w:hAnsi="宋体" w:cs="宋体"/>
          <w:sz w:val="24"/>
          <w:highlight w:val="none"/>
        </w:rPr>
        <w:t>20—40</w:t>
      </w:r>
      <w:r>
        <w:rPr>
          <w:rFonts w:ascii="宋体" w:eastAsia="宋体" w:hAnsi="宋体" w:cs="宋体" w:hint="eastAsia"/>
          <w:sz w:val="24"/>
          <w:highlight w:val="none"/>
        </w:rPr>
        <w:t xml:space="preserve">米。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机房类型：优先利旧，无法利旧的考虑新建机房。对于新建机房以一体化机柜为主，以租赁机房为辅。对于要求特别高的场景可新建美化机房，以保持环境协调。</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（四） 居民小区</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此类区域人口密度高，建筑物高度较平均，大面积、成片区域特点明显；移动用户多，对网络容量要求高。综合考虑各类因素后，建议此类场景基站建设方案如下：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站址选取位置：对于老旧小区，主要考虑小区内或小区外围建设地面站。对于新建小区，应在小区建设时要求开发商根据规划位置，在小区楼顶预留机房和塔桅安装位置。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塔型选取：楼面桅杆、楼顶美化塔、落地景观塔、路灯塔等。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高度控制：天线挂高控制在</w:t>
      </w:r>
      <w:r>
        <w:rPr>
          <w:rFonts w:ascii="宋体" w:eastAsia="宋体" w:hAnsi="宋体" w:cs="宋体"/>
          <w:sz w:val="24"/>
          <w:highlight w:val="none"/>
        </w:rPr>
        <w:t>25—35</w:t>
      </w:r>
      <w:r>
        <w:rPr>
          <w:rFonts w:ascii="宋体" w:eastAsia="宋体" w:hAnsi="宋体" w:cs="宋体" w:hint="eastAsia"/>
          <w:sz w:val="24"/>
          <w:highlight w:val="none"/>
        </w:rPr>
        <w:t xml:space="preserve">米。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机房类型：优先利旧、租赁机房，无法利旧、租赁的考虑新建机房。对于新建机房以一体化机柜为主。对于要求特别高的小区可新建美化机房，以保持环境协调。</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对于大型密集小区，室外站以覆盖小区建筑物外部环境为主。对于建筑物内部（电梯、楼宇内过道、地下车库、住宅内等区域）将通过室内分布系统解决。 </w:t>
      </w:r>
    </w:p>
    <w:p>
      <w:pPr>
        <w:widowControl/>
        <w:spacing w:line="360" w:lineRule="auto"/>
        <w:jc w:val="center"/>
        <w:rPr>
          <w:rFonts w:ascii="宋体" w:eastAsia="宋体" w:hAnsi="宋体" w:cs="宋体"/>
          <w:sz w:val="24"/>
          <w:highlight w:val="none"/>
        </w:rPr>
      </w:pPr>
      <w:r>
        <w:rPr>
          <w:highlight w:val="none"/>
        </w:rPr>
        <w:drawing>
          <wp:inline distT="0" distB="0" distL="114300" distR="114300">
            <wp:extent cx="4646930" cy="4841240"/>
            <wp:effectExtent l="0" t="0" r="1270" b="1651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xmlns:r="http://schemas.openxmlformats.org/officeDocument/2006/relationships" r:embed="rId50"/>
                    <a:stretch>
                      <a:fillRect/>
                    </a:stretch>
                  </pic:blipFill>
                  <pic:spPr>
                    <a:xfrm>
                      <a:off x="0" y="0"/>
                      <a:ext cx="4646930" cy="4841240"/>
                    </a:xfrm>
                    <a:prstGeom prst="rect">
                      <a:avLst/>
                    </a:prstGeom>
                    <a:noFill/>
                    <a:ln>
                      <a:noFill/>
                    </a:ln>
                  </pic:spPr>
                </pic:pic>
              </a:graphicData>
            </a:graphic>
          </wp:inline>
        </w:drawing>
      </w:r>
    </w:p>
    <w:p>
      <w:pPr>
        <w:widowControl/>
        <w:spacing w:line="360" w:lineRule="auto"/>
        <w:jc w:val="center"/>
        <w:rPr>
          <w:rFonts w:ascii="宋体" w:eastAsia="宋体" w:hAnsi="宋体" w:cs="宋体"/>
          <w:sz w:val="24"/>
          <w:highlight w:val="none"/>
        </w:rPr>
      </w:pPr>
      <w:r>
        <w:rPr>
          <w:rFonts w:ascii="宋体" w:eastAsia="宋体" w:hAnsi="宋体" w:cs="宋体" w:hint="eastAsia"/>
          <w:sz w:val="24"/>
          <w:highlight w:val="none"/>
        </w:rPr>
        <w:t>图</w:t>
      </w:r>
      <w:r>
        <w:rPr>
          <w:rFonts w:ascii="宋体" w:eastAsia="宋体" w:hAnsi="宋体" w:cs="宋体"/>
          <w:sz w:val="24"/>
          <w:highlight w:val="none"/>
        </w:rPr>
        <w:t>6</w:t>
      </w:r>
      <w:r>
        <w:rPr>
          <w:rFonts w:ascii="宋体" w:eastAsia="宋体" w:hAnsi="宋体" w:cs="宋体" w:hint="eastAsia"/>
          <w:sz w:val="24"/>
          <w:highlight w:val="none"/>
        </w:rPr>
        <w:t>-3</w:t>
      </w:r>
      <w:r>
        <w:rPr>
          <w:rFonts w:ascii="宋体" w:eastAsia="宋体" w:hAnsi="宋体" w:cs="宋体"/>
          <w:sz w:val="24"/>
          <w:highlight w:val="none"/>
        </w:rPr>
        <w:t xml:space="preserve"> </w:t>
      </w:r>
      <w:r>
        <w:rPr>
          <w:rFonts w:ascii="宋体" w:eastAsia="宋体" w:hAnsi="宋体" w:cs="宋体" w:hint="eastAsia"/>
          <w:sz w:val="24"/>
          <w:highlight w:val="none"/>
        </w:rPr>
        <w:t>居民小区建设示意图</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b/>
          <w:bCs/>
          <w:sz w:val="24"/>
          <w:highlight w:val="none"/>
        </w:rPr>
        <w:t>（</w:t>
      </w:r>
      <w:r>
        <w:rPr>
          <w:rFonts w:ascii="宋体" w:eastAsia="宋体" w:hAnsi="宋体" w:cs="宋体"/>
          <w:b/>
          <w:bCs/>
          <w:sz w:val="24"/>
          <w:highlight w:val="none"/>
        </w:rPr>
        <w:t>5</w:t>
      </w:r>
      <w:r>
        <w:rPr>
          <w:rFonts w:ascii="宋体" w:eastAsia="宋体" w:hAnsi="宋体" w:cs="宋体" w:hint="eastAsia"/>
          <w:b/>
          <w:bCs/>
          <w:sz w:val="24"/>
          <w:highlight w:val="none"/>
        </w:rPr>
        <w:t>） 工业产业集中区域</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该类区域工厂、企业较多，以加工、制造业为主，建筑物普遍为低层建筑，无线信号在空中传播损耗较小。综合考虑各类因素后，建议此类场景基站建设方案如下：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站址选取位置：由于建筑物较低，建议以地面站为主；规划位置周边确实有建筑物可以满足天线挂高要求的建设在建筑物顶。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塔型选取：落地景观塔、路灯塔、楼面桅杆。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高度控制：天线挂高控制在</w:t>
      </w:r>
      <w:r>
        <w:rPr>
          <w:rFonts w:ascii="宋体" w:eastAsia="宋体" w:hAnsi="宋体" w:cs="宋体"/>
          <w:sz w:val="24"/>
          <w:highlight w:val="none"/>
        </w:rPr>
        <w:t>35—50</w:t>
      </w:r>
      <w:r>
        <w:rPr>
          <w:rFonts w:ascii="宋体" w:eastAsia="宋体" w:hAnsi="宋体" w:cs="宋体" w:hint="eastAsia"/>
          <w:sz w:val="24"/>
          <w:highlight w:val="none"/>
        </w:rPr>
        <w:t xml:space="preserve">米。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机房类型：优先利旧、租赁机房，无法利旧、租赁的考虑新建机房。对于新建机房以一体化机柜为主。 </w:t>
      </w:r>
    </w:p>
    <w:p>
      <w:pPr>
        <w:widowControl/>
        <w:spacing w:line="360" w:lineRule="auto"/>
        <w:jc w:val="center"/>
        <w:rPr>
          <w:rFonts w:ascii="宋体" w:eastAsia="宋体" w:hAnsi="宋体" w:cs="宋体"/>
          <w:sz w:val="24"/>
          <w:highlight w:val="none"/>
        </w:rPr>
      </w:pPr>
      <w:r>
        <w:rPr>
          <w:highlight w:val="none"/>
        </w:rPr>
        <w:drawing>
          <wp:inline distT="0" distB="0" distL="114300" distR="114300">
            <wp:extent cx="4989195" cy="3161665"/>
            <wp:effectExtent l="0" t="0" r="1905" b="635"/>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xmlns:r="http://schemas.openxmlformats.org/officeDocument/2006/relationships" r:embed="rId51"/>
                    <a:stretch>
                      <a:fillRect/>
                    </a:stretch>
                  </pic:blipFill>
                  <pic:spPr>
                    <a:xfrm>
                      <a:off x="0" y="0"/>
                      <a:ext cx="4989195" cy="3161665"/>
                    </a:xfrm>
                    <a:prstGeom prst="rect">
                      <a:avLst/>
                    </a:prstGeom>
                    <a:noFill/>
                    <a:ln>
                      <a:noFill/>
                    </a:ln>
                  </pic:spPr>
                </pic:pic>
              </a:graphicData>
            </a:graphic>
          </wp:inline>
        </w:drawing>
      </w:r>
    </w:p>
    <w:p>
      <w:pPr>
        <w:widowControl/>
        <w:spacing w:line="360" w:lineRule="auto"/>
        <w:jc w:val="center"/>
        <w:rPr>
          <w:rFonts w:ascii="宋体" w:eastAsia="宋体" w:hAnsi="宋体" w:cs="宋体"/>
          <w:sz w:val="24"/>
          <w:highlight w:val="none"/>
        </w:rPr>
      </w:pPr>
      <w:r>
        <w:rPr>
          <w:rFonts w:ascii="宋体" w:eastAsia="宋体" w:hAnsi="宋体" w:cs="宋体" w:hint="eastAsia"/>
          <w:sz w:val="24"/>
          <w:highlight w:val="none"/>
        </w:rPr>
        <w:t xml:space="preserve">图 </w:t>
      </w:r>
      <w:r>
        <w:rPr>
          <w:rFonts w:ascii="宋体" w:eastAsia="宋体" w:hAnsi="宋体" w:cs="宋体"/>
          <w:sz w:val="24"/>
          <w:highlight w:val="none"/>
        </w:rPr>
        <w:t>6</w:t>
      </w:r>
      <w:r>
        <w:rPr>
          <w:rFonts w:ascii="宋体" w:eastAsia="宋体" w:hAnsi="宋体" w:cs="宋体" w:hint="eastAsia"/>
          <w:sz w:val="24"/>
          <w:highlight w:val="none"/>
        </w:rPr>
        <w:t>-4</w:t>
      </w:r>
      <w:r>
        <w:rPr>
          <w:rFonts w:ascii="宋体" w:eastAsia="宋体" w:hAnsi="宋体" w:cs="宋体"/>
          <w:sz w:val="24"/>
          <w:highlight w:val="none"/>
        </w:rPr>
        <w:t xml:space="preserve"> </w:t>
      </w:r>
      <w:r>
        <w:rPr>
          <w:rFonts w:ascii="宋体" w:eastAsia="宋体" w:hAnsi="宋体" w:cs="宋体" w:hint="eastAsia"/>
          <w:sz w:val="24"/>
          <w:highlight w:val="none"/>
        </w:rPr>
        <w:t>工业产业集中区域建设示意图</w:t>
      </w:r>
    </w:p>
    <w:p>
      <w:pPr>
        <w:pStyle w:val="Heading3"/>
        <w:spacing w:line="360" w:lineRule="auto"/>
        <w:ind w:firstLine="420" w:firstLineChars="200"/>
        <w:rPr>
          <w:rFonts w:ascii="宋体" w:eastAsia="宋体" w:hAnsi="宋体" w:cs="宋体"/>
          <w:sz w:val="28"/>
          <w:szCs w:val="28"/>
          <w:highlight w:val="none"/>
        </w:rPr>
      </w:pPr>
      <w:bookmarkStart w:id="73" w:name="_Toc21184"/>
      <w:r>
        <w:rPr>
          <w:rFonts w:ascii="宋体" w:eastAsia="宋体" w:hAnsi="宋体" w:cs="宋体" w:hint="eastAsia"/>
          <w:sz w:val="28"/>
          <w:szCs w:val="28"/>
          <w:highlight w:val="none"/>
        </w:rPr>
        <w:t>六、市域通信宏基站规划方案</w:t>
      </w:r>
      <w:bookmarkEnd w:id="73"/>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（一）中心城区通信基础设施规划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1、中心城区通信基础设施规划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中心城区区域，结合城市建筑物分布特征，中心城区周围建筑物平均高度&gt;30米(10层以上)， 周围建筑物平均楼距约10－20米，区域内建筑物平均高度或平均密度明显高于城市内周围建筑物，地形相对平坦，中高层建筑可能较多，一般包含密集的高层建筑群、密集商住搂构成的商业中心区及由缺乏统一规划的大量自建住宅构成的城中村。依据区域的地理特征、人口特征、业务需求情况等功能特征，对覆盖场景定义如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（1）密集商业区</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商业区是城市最繁华地段，大多数建筑物高度在30米(10层)以下，高、中、低层建筑相间其中，并紧密相挨，建筑物分布较为规则，人口密度大，流动性强，用户对语音业务要求较高，对数据业务要求一般。</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（2）高层住宅小区</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高层住宅小区是多栋中高层建筑紧密相邻，建筑物内常设有电梯和地下停车场，地势基本平坦，区域内有绿化带或小型山丘，道路较窄，车流较少，人口分布规则，流动性较小，对语音业务要求较高，对数据业务要求也较高。</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（3）CBD商业中心</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CBD商业中心拥有大量的商务办公楼，典型特征是高楼林立，大多数建筑物高度在45米(15层)以上，常与大型购物中心及高档楼宇并存，高、中、低层建筑相间其中。建筑物分布规则，道路较宽。人口分布规则，流动性不强，对语音业务和数据业务要求较高。</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（4）市政广场</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市政广场多由公益工程兴建，以生态休闲功能为主，区域较为空旷，由花坛、雕塑、喷泉、文化廊、健身器材等组成，节假日人口流量大，人口分布不规则，对语音业务要求较高，对数据业务要求一般。</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（5）城中村地带</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城中村地带由大量密集的私人住宅组成，楼层高度通常为10层以下，楼间距较狭窄，整个城中村就像一个巨大而封闭的建筑物。城中村内建筑物分布极其不规则，道路狭窄，往往集中大量外来人口，对语音业务和数据业务要求较高。</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结合中心城区特征以及规划原则，应充分考虑5G网络异构化组网的特征，基站站址形态逐渐由“高、大、远、疏”的传统模式转变为“低、小、近、密”的综合覆盖模式，形成存量宏站为骨架、道路杆塔为脉络、微型杆塔为拓展的5G城区站址资源库。</w:t>
      </w:r>
    </w:p>
    <w:p>
      <w:pPr>
        <w:widowControl/>
        <w:spacing w:line="360" w:lineRule="auto"/>
        <w:ind w:firstLine="420" w:firstLineChars="200"/>
        <w:rPr>
          <w:rFonts w:ascii="宋体" w:eastAsia="宋体" w:hAnsi="宋体" w:cs="宋体"/>
          <w:sz w:val="24"/>
          <w:highlight w:val="none"/>
        </w:rPr>
      </w:pPr>
    </w:p>
    <w:p>
      <w:pPr>
        <w:widowControl/>
        <w:spacing w:line="360" w:lineRule="auto"/>
        <w:ind w:firstLine="420" w:firstLineChars="200"/>
        <w:rPr>
          <w:rFonts w:ascii="宋体" w:eastAsia="宋体" w:hAnsi="宋体" w:cs="宋体"/>
          <w:sz w:val="24"/>
          <w:highlight w:val="none"/>
        </w:rPr>
      </w:pPr>
    </w:p>
    <w:p>
      <w:pPr>
        <w:widowControl/>
        <w:spacing w:line="360" w:lineRule="auto"/>
        <w:ind w:firstLine="420" w:firstLineChars="200"/>
        <w:rPr>
          <w:rFonts w:ascii="宋体" w:eastAsia="宋体" w:hAnsi="宋体" w:cs="宋体"/>
          <w:sz w:val="24"/>
          <w:highlight w:val="none"/>
        </w:rPr>
      </w:pPr>
    </w:p>
    <w:p>
      <w:pPr>
        <w:widowControl/>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表6-9 中心城区通信基础设施规划策略</w:t>
      </w:r>
    </w:p>
    <w:tbl>
      <w:tblPr>
        <w:tblStyle w:val="TableNormal"/>
        <w:tblW w:w="4981"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0" w:type="dxa"/>
          <w:bottom w:w="0" w:type="dxa"/>
          <w:right w:w="0" w:type="dxa"/>
        </w:tblCellMar>
      </w:tblPr>
      <w:tblGrid>
        <w:gridCol w:w="695"/>
        <w:gridCol w:w="763"/>
        <w:gridCol w:w="1790"/>
        <w:gridCol w:w="551"/>
        <w:gridCol w:w="551"/>
        <w:gridCol w:w="856"/>
        <w:gridCol w:w="551"/>
        <w:gridCol w:w="4249"/>
      </w:tblGrid>
      <w:tr>
        <w:tblPrEx>
          <w:tblW w:w="4981"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0" w:type="dxa"/>
            <w:bottom w:w="0" w:type="dxa"/>
            <w:right w:w="0" w:type="dxa"/>
          </w:tblCellMar>
        </w:tblPrEx>
        <w:trPr>
          <w:tblHeader/>
          <w:jc w:val="center"/>
        </w:trPr>
        <w:tc>
          <w:tcPr>
            <w:tcW w:w="347" w:type="pct"/>
            <w:tcMar>
              <w:top w:w="17" w:type="dxa"/>
              <w:left w:w="17" w:type="dxa"/>
              <w:right w:w="17"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网络</w:t>
            </w:r>
          </w:p>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分层</w:t>
            </w:r>
          </w:p>
        </w:tc>
        <w:tc>
          <w:tcPr>
            <w:tcW w:w="381" w:type="pct"/>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设备</w:t>
            </w:r>
          </w:p>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形态</w:t>
            </w:r>
          </w:p>
        </w:tc>
        <w:tc>
          <w:tcPr>
            <w:tcW w:w="894" w:type="pct"/>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设备类型</w:t>
            </w:r>
          </w:p>
        </w:tc>
        <w:tc>
          <w:tcPr>
            <w:tcW w:w="0" w:type="auto"/>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设备功耗</w:t>
            </w:r>
          </w:p>
        </w:tc>
        <w:tc>
          <w:tcPr>
            <w:tcW w:w="0" w:type="auto"/>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系统容量</w:t>
            </w:r>
          </w:p>
        </w:tc>
        <w:tc>
          <w:tcPr>
            <w:tcW w:w="0" w:type="auto"/>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覆盖</w:t>
            </w:r>
          </w:p>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范围</w:t>
            </w:r>
          </w:p>
        </w:tc>
        <w:tc>
          <w:tcPr>
            <w:tcW w:w="0" w:type="auto"/>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施工难度</w:t>
            </w:r>
          </w:p>
        </w:tc>
        <w:tc>
          <w:tcPr>
            <w:tcW w:w="0" w:type="auto"/>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典型特点</w:t>
            </w:r>
          </w:p>
        </w:tc>
      </w:tr>
      <w:tr>
        <w:tblPrEx>
          <w:tblW w:w="4981" w:type="pct"/>
          <w:jc w:val="center"/>
          <w:tblCellMar>
            <w:top w:w="0" w:type="dxa"/>
            <w:left w:w="0" w:type="dxa"/>
            <w:bottom w:w="0" w:type="dxa"/>
            <w:right w:w="0" w:type="dxa"/>
          </w:tblCellMar>
        </w:tblPrEx>
        <w:trPr>
          <w:jc w:val="center"/>
        </w:trPr>
        <w:tc>
          <w:tcPr>
            <w:tcW w:w="347"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布局层</w:t>
            </w:r>
          </w:p>
        </w:tc>
        <w:tc>
          <w:tcPr>
            <w:tcW w:w="381"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宏站</w:t>
            </w:r>
          </w:p>
        </w:tc>
        <w:tc>
          <w:tcPr>
            <w:tcW w:w="894"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宏蜂窝、分布式</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高</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高</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200m以上</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难</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设备容量大，主设备可机柜、壁挂、挂杆安装，天线需杆塔安装。</w:t>
            </w:r>
          </w:p>
        </w:tc>
      </w:tr>
      <w:tr>
        <w:tblPrEx>
          <w:tblW w:w="4981" w:type="pct"/>
          <w:jc w:val="center"/>
          <w:tblCellMar>
            <w:top w:w="0" w:type="dxa"/>
            <w:left w:w="0" w:type="dxa"/>
            <w:bottom w:w="0" w:type="dxa"/>
            <w:right w:w="0" w:type="dxa"/>
          </w:tblCellMar>
        </w:tblPrEx>
        <w:trPr>
          <w:jc w:val="center"/>
        </w:trPr>
        <w:tc>
          <w:tcPr>
            <w:tcW w:w="347"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补盲层</w:t>
            </w:r>
          </w:p>
        </w:tc>
        <w:tc>
          <w:tcPr>
            <w:tcW w:w="381"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杆站</w:t>
            </w:r>
          </w:p>
        </w:tc>
        <w:tc>
          <w:tcPr>
            <w:tcW w:w="894"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分布式、Easy Macro等</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中</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中</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100-300m</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中</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以景观塔、路灯杆等作为天线架设物，零站址敏捷建站，环境友好，隐蔽性强。</w:t>
            </w:r>
          </w:p>
        </w:tc>
      </w:tr>
      <w:tr>
        <w:tblPrEx>
          <w:tblW w:w="4981" w:type="pct"/>
          <w:jc w:val="center"/>
          <w:tblCellMar>
            <w:top w:w="0" w:type="dxa"/>
            <w:left w:w="0" w:type="dxa"/>
            <w:bottom w:w="0" w:type="dxa"/>
            <w:right w:w="0" w:type="dxa"/>
          </w:tblCellMar>
        </w:tblPrEx>
        <w:trPr>
          <w:jc w:val="center"/>
        </w:trPr>
        <w:tc>
          <w:tcPr>
            <w:tcW w:w="347"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吸热层</w:t>
            </w:r>
          </w:p>
        </w:tc>
        <w:tc>
          <w:tcPr>
            <w:tcW w:w="381"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微站</w:t>
            </w:r>
          </w:p>
        </w:tc>
        <w:tc>
          <w:tcPr>
            <w:tcW w:w="894"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Small Cell、Book RRU等</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低</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低</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50-100m</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易</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书本式造型，天线可内置，</w:t>
            </w:r>
            <w:bookmarkStart w:id="74" w:name="_Hlk518396512"/>
            <w:r>
              <w:rPr>
                <w:rFonts w:ascii="宋体" w:eastAsia="宋体" w:hAnsi="宋体" w:cs="宋体" w:hint="eastAsia"/>
                <w:kern w:val="0"/>
                <w:szCs w:val="21"/>
                <w:highlight w:val="none"/>
              </w:rPr>
              <w:t>部署方式灵活，宏微协同，适用深度覆盖的伪装建站。</w:t>
            </w:r>
            <w:bookmarkEnd w:id="74"/>
          </w:p>
        </w:tc>
      </w:tr>
      <w:tr>
        <w:tblPrEx>
          <w:tblW w:w="4981" w:type="pct"/>
          <w:jc w:val="center"/>
          <w:tblCellMar>
            <w:top w:w="0" w:type="dxa"/>
            <w:left w:w="0" w:type="dxa"/>
            <w:bottom w:w="0" w:type="dxa"/>
            <w:right w:w="0" w:type="dxa"/>
          </w:tblCellMar>
        </w:tblPrEx>
        <w:trPr>
          <w:jc w:val="center"/>
        </w:trPr>
        <w:tc>
          <w:tcPr>
            <w:tcW w:w="347"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室内层</w:t>
            </w:r>
          </w:p>
        </w:tc>
        <w:tc>
          <w:tcPr>
            <w:tcW w:w="381"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室分</w:t>
            </w:r>
          </w:p>
        </w:tc>
        <w:tc>
          <w:tcPr>
            <w:tcW w:w="894" w:type="pct"/>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光纤分布系统、Lamp Site、QCell等</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低</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高</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10-50m</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难</w:t>
            </w:r>
          </w:p>
        </w:tc>
        <w:tc>
          <w:tcPr>
            <w:tcW w:w="0" w:type="auto"/>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大容量、易部署、易运维，但物业切入较为困难，施工牵涉人员众多。</w:t>
            </w:r>
          </w:p>
        </w:tc>
      </w:tr>
    </w:tbl>
    <w:p>
      <w:pPr>
        <w:rPr>
          <w:highlight w:val="none"/>
        </w:rPr>
      </w:pPr>
    </w:p>
    <w:p>
      <w:pPr>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（二）县域通信基础设施规划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一般市区/县城规划场景，周围建筑物平均高度15－30米(5～9层)， 周围建筑物平均楼距约10－20米；一般基站附近的建筑物分布比较均匀，周围主要以9层以下建筑物为主，也可能有零星的9层以上建筑物，周边道路不算太宽。城市内具有建筑物平均高度和平均密度的区域；或经济较发达、有较多建筑物的县城和卫星城。</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一般市区/县城规划方法：以一般市区、县城场景为代表的城区，其子网格按照大型商业（务）圈、大型景区及周边、开发区（工业园）、大学城（大型校园）、一般社区5类进行划分，划分单个子网格的区域面积宜在5~10平方公里左右。存量的平均站址规模宜在20~80左右，原则上不单独划分少于10个存量站址的子网格。</w:t>
      </w:r>
      <w:bookmarkStart w:id="75" w:name="_Toc41300039"/>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（三）乡镇、农村通信基础设施规划</w:t>
      </w:r>
      <w:bookmarkEnd w:id="75"/>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对于乡镇、农村规划场景考虑如下：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1、乡镇：城市边缘地区或乡镇中心区，周围建筑物平均高度10－15米(3～5层)， 周围建筑物平均楼距约30－50米；一般基站附近的建筑物分布比较均匀，周围主要以3～4层建筑物为主，也可能有零星的4层以上建筑物，建筑物之间有较宽的空间。一般为城市边缘的城乡结合部、工业区以及远离中心城市的乡镇，区域内建筑物稀疏，基本上无高层建筑。</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农村：包括村落、农场、林场等，一般农村人口呈散落居住，建筑物稀疏，平均高度3-6米；发达农村（如新农村）形成的大规模村落聚居地，建筑物布局整齐，平均高度6－9米(2～3层)，一般情况下建筑物之间有较宽的空间。网络信号覆盖一般受地形起伏影响较大，受建筑物对信号的影响较小。</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（四）开发区通信基站基础设施规划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城市工业布局突出差异化发展工业：拓展传统产业、培育新兴产业。 大多市区：依托四大工业园区，优化拓展传统优势产业；中心城区：培育创新服务功能，发展高新技术与先进制造业。</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1、对乡镇场景的子网格按照镇区、开发区（工业园）2类进行划分，其单个子网格的区域面积宜在5~10平方公里左右。存量的平均站址规模宜在20~80左右，原则上不单独划分少于10个存量站址的子网格。</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2、对农村场景的子网格按照工业园、大型景区及周边、行政村3类进行划分，其中行政村子网格的划分标准是以乡镇行政边界内的所有行政村作为一个子网格，存量站址数量不做限制。</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（五）风景旅游区通信基站基础设施规划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对于布置在公园绿地、防护绿地内的基站，建设时应与绿地管理单位或主要使用单位沟通， 落实相关事宜。对基站建设过程中造成的相关损失，应给予相应赔偿；因基站建设需移植绿化植物的，应按规定办理审批手续，并承担移植相关费用。公共绿地管理单位或主要使用单位，应当支持基站设置建设并提供便利。</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（六）高速公路及铁路通信基站基础设施规划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1、柳州—北海高速公路，简称柳北高速，中国国家高速公路网编号为G7212 [1]，是G72泉南高速的一条联络线，连接广西柳州与北海两个城市，全长约142.8公里，起点广西柳州市柳江区新兴南互通立交，终点广西北海市银海区银滩大道，全线通车时间 2017年10月17日；规划至2030年预计到达5G基站数量39个。</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兰海高速(G75）是兰州至海口高速公路简称兰海高速公路(代号:G75)，是连接甘肃省兰州市和海南省海口市的高速公路，全长2570公里。兰海高速公路途经兰州-陇南-广元-南充-武胜-重庆-綦江-遵义-贵阳-都匀-河池-南宁-钦州-北海-湛江-海口等城市；兰海高速北海段总里程约90公里，规划至2030年预计到达5G基站数量75个。</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3、钦北高铁由钦州北至北海，长99.6公里（北海市境内约54.227公里）（于2013年12月30日，已完工通车）；规划至2030年预计到达5G基站数量132个。</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4、合浦至湛江高铁（预计2024年3月开工），总里程约139公里（其中广西境内约62公里，广西境内投资134亿元），总投资约288亿元，配套建设北海联络线约14.9公里，规划至2030年预计到达5G基站数量118个。</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5、玉林至北海（合浦）城际铁路（规划）总里程约116公里，总投资约172亿元；规划至2030年预计到达5G基站数量200个。</w:t>
      </w:r>
    </w:p>
    <w:p>
      <w:pPr>
        <w:pStyle w:val="Heading3"/>
        <w:spacing w:line="360" w:lineRule="auto"/>
        <w:ind w:firstLine="420" w:firstLineChars="200"/>
        <w:rPr>
          <w:rFonts w:ascii="宋体" w:eastAsia="宋体" w:hAnsi="宋体" w:cs="宋体"/>
          <w:sz w:val="28"/>
          <w:szCs w:val="28"/>
          <w:highlight w:val="none"/>
        </w:rPr>
      </w:pPr>
      <w:bookmarkStart w:id="76" w:name="_Toc5821"/>
      <w:r>
        <w:rPr>
          <w:rFonts w:ascii="宋体" w:eastAsia="宋体" w:hAnsi="宋体" w:cs="宋体" w:hint="eastAsia"/>
          <w:sz w:val="28"/>
          <w:szCs w:val="28"/>
          <w:highlight w:val="none"/>
        </w:rPr>
        <w:t>七、5G基站规划方案</w:t>
      </w:r>
      <w:bookmarkEnd w:id="76"/>
    </w:p>
    <w:p>
      <w:pPr>
        <w:widowControl/>
        <w:spacing w:line="360" w:lineRule="auto"/>
        <w:ind w:firstLine="420" w:firstLineChars="200"/>
        <w:rPr>
          <w:rFonts w:ascii="宋体" w:eastAsia="宋体" w:hAnsi="宋体" w:cs="宋体"/>
          <w:b/>
          <w:bCs/>
          <w:sz w:val="24"/>
          <w:highlight w:val="none"/>
        </w:rPr>
      </w:pPr>
      <w:r>
        <w:rPr>
          <w:rFonts w:ascii="宋体" w:eastAsia="宋体" w:hAnsi="宋体" w:cs="宋体"/>
          <w:sz w:val="24"/>
          <w:highlight w:val="none"/>
        </w:rPr>
        <w:t>站点的规划根据六边形蜂窝结构和四家运营商多种移动通信制式并存的情况，按照5G</w:t>
      </w:r>
      <w:r>
        <w:rPr>
          <w:rFonts w:ascii="宋体" w:eastAsia="宋体" w:hAnsi="宋体" w:cs="宋体" w:hint="eastAsia"/>
          <w:sz w:val="24"/>
          <w:highlight w:val="none"/>
        </w:rPr>
        <w:t>基站覆盖需求，在规划期内新址新建</w:t>
      </w:r>
      <w:r>
        <w:rPr>
          <w:rFonts w:ascii="宋体" w:eastAsia="宋体" w:hAnsi="宋体" w:cs="宋体"/>
          <w:sz w:val="24"/>
          <w:highlight w:val="none"/>
        </w:rPr>
        <w:t>5G</w:t>
      </w:r>
      <w:r>
        <w:rPr>
          <w:rFonts w:ascii="宋体" w:eastAsia="宋体" w:hAnsi="宋体" w:cs="宋体" w:hint="eastAsia"/>
          <w:sz w:val="24"/>
          <w:highlight w:val="none"/>
        </w:rPr>
        <w:t>基站数共计2059个，一是通过对四家运营商简化组网方式、优化网络结构、设备集中堆放进行拉远建设等方式建设可节约6000㎡配套面积（每站可节约</w:t>
      </w:r>
      <w:r>
        <w:rPr>
          <w:rFonts w:ascii="宋体" w:eastAsia="宋体" w:hAnsi="宋体" w:cs="宋体"/>
          <w:sz w:val="24"/>
          <w:highlight w:val="none"/>
        </w:rPr>
        <w:t>3</w:t>
      </w:r>
      <w:r>
        <w:rPr>
          <w:rFonts w:ascii="宋体" w:eastAsia="宋体" w:hAnsi="宋体" w:cs="宋体" w:hint="eastAsia"/>
          <w:sz w:val="24"/>
          <w:highlight w:val="none"/>
        </w:rPr>
        <w:t>个综合柜10㎡面积）；二是规划预估有600个宽带传输杆、路灯杆可利用，以及通过微基站、皮基站等建设方式无需新建，可节约30000㎡的用地面积（每站可节约50㎡面积）；三是通过本次规划统筹各大运营商的建设需求，最大限度提高共建共享率，减少重复建设，避免土地资源浪费，预估有1459个基站属于两家或三家共建，其共享率超60%，预估可节约21000㎡建站面积。总计可节约57000㎡的土地用地面积。设备尽量少占用公共空间且不占用公共绿地，规划位置范围内具备共享条件的优先共址原站，不在覆盖范围内的需新建站址，建设方式主要分以下2种：</w:t>
      </w:r>
    </w:p>
    <w:p>
      <w:pPr>
        <w:widowControl/>
        <w:spacing w:line="360" w:lineRule="auto"/>
        <w:ind w:left="480"/>
        <w:rPr>
          <w:rFonts w:ascii="宋体" w:eastAsia="宋体" w:hAnsi="宋体" w:cs="宋体"/>
          <w:sz w:val="24"/>
          <w:highlight w:val="none"/>
        </w:rPr>
      </w:pPr>
      <w:r>
        <w:rPr>
          <w:rFonts w:ascii="宋体" w:eastAsia="宋体" w:hAnsi="宋体" w:cs="宋体" w:hint="eastAsia"/>
          <w:sz w:val="24"/>
          <w:highlight w:val="none"/>
        </w:rPr>
        <w:t>1</w:t>
      </w:r>
      <w:r>
        <w:rPr>
          <w:rFonts w:ascii="宋体" w:eastAsia="宋体" w:hAnsi="宋体" w:cs="宋体"/>
          <w:sz w:val="24"/>
          <w:highlight w:val="none"/>
        </w:rPr>
        <w:t>.</w:t>
      </w:r>
      <w:r>
        <w:rPr>
          <w:rFonts w:ascii="宋体" w:eastAsia="宋体" w:hAnsi="宋体" w:cs="宋体" w:hint="eastAsia"/>
          <w:sz w:val="24"/>
          <w:highlight w:val="none"/>
        </w:rPr>
        <w:t>新建基站的布点：街道边，道路边等公共配套设施用地边缘区域。</w:t>
      </w:r>
      <w:r>
        <w:rPr>
          <w:rFonts w:ascii="宋体" w:eastAsia="宋体" w:hAnsi="宋体" w:cs="宋体"/>
          <w:sz w:val="24"/>
          <w:highlight w:val="none"/>
        </w:rPr>
        <w:t xml:space="preserve">  </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w:t>
      </w:r>
      <w:r>
        <w:rPr>
          <w:rFonts w:ascii="宋体" w:eastAsia="宋体" w:hAnsi="宋体" w:cs="宋体"/>
          <w:sz w:val="24"/>
          <w:highlight w:val="none"/>
        </w:rPr>
        <w:t>.</w:t>
      </w:r>
      <w:r>
        <w:rPr>
          <w:rFonts w:ascii="宋体" w:eastAsia="宋体" w:hAnsi="宋体" w:cs="宋体" w:hint="eastAsia"/>
          <w:sz w:val="24"/>
          <w:highlight w:val="none"/>
        </w:rPr>
        <w:t>租赁：采用土地租赁、现状建筑房顶租赁的方式</w:t>
      </w:r>
      <w:r>
        <w:rPr>
          <w:rFonts w:ascii="宋体" w:eastAsia="宋体" w:hAnsi="宋体" w:cs="宋体"/>
          <w:sz w:val="24"/>
          <w:highlight w:val="none"/>
        </w:rPr>
        <w:t>。</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结合上述规划原则、站点距离等要求，进行站址规划及规模预测：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1.站址宜选在有适当高度的高层建筑、高塔和可靠电源可利用的地点。</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2.新建铁塔在聚居区（市区、县城）内，覆盖半径不超过200米；在非聚居区(农村)内，覆盖半径不超过1000米。</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3.基站选址应符合国空规划要求，宜采用小型化、隐蔽化的建设方案，充分考虑市容市貌等问题；当5G基站设置在城市道路两侧或重要景观节点时，应进行美化，且需避让永久基本农田和生态保护红线。</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4.在满足覆盖率的情况下，减少在海边、重要道路交叉口、重要景观节点的设置数量，如需布设则需做好隐蔽措施，与周边环境相融洽。</w:t>
      </w:r>
    </w:p>
    <w:tbl>
      <w:tblPr>
        <w:tblStyle w:val="TableNormal"/>
        <w:tblpPr w:leftFromText="180" w:rightFromText="180" w:vertAnchor="text" w:horzAnchor="page" w:tblpX="1821" w:tblpY="1726"/>
        <w:tblW w:w="934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blGrid>
        <w:gridCol w:w="1124"/>
        <w:gridCol w:w="1134"/>
        <w:gridCol w:w="1418"/>
        <w:gridCol w:w="1134"/>
        <w:gridCol w:w="1276"/>
        <w:gridCol w:w="1134"/>
        <w:gridCol w:w="992"/>
        <w:gridCol w:w="1134"/>
      </w:tblGrid>
      <w:tr>
        <w:tblPrEx>
          <w:tblW w:w="934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Ex>
        <w:trPr>
          <w:trHeight w:val="421"/>
        </w:trPr>
        <w:tc>
          <w:tcPr>
            <w:tcW w:w="112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区县</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市区</w:t>
            </w:r>
          </w:p>
        </w:tc>
        <w:tc>
          <w:tcPr>
            <w:tcW w:w="1418"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县城</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乡镇</w:t>
            </w:r>
          </w:p>
        </w:tc>
        <w:tc>
          <w:tcPr>
            <w:tcW w:w="1276"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农村</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高速</w:t>
            </w:r>
          </w:p>
        </w:tc>
        <w:tc>
          <w:tcPr>
            <w:tcW w:w="992"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高铁</w:t>
            </w:r>
          </w:p>
        </w:tc>
        <w:tc>
          <w:tcPr>
            <w:tcW w:w="1134" w:type="dxa"/>
            <w:shd w:val="clear" w:color="auto" w:fill="auto"/>
            <w:tcMar>
              <w:top w:w="13" w:type="dxa"/>
              <w:left w:w="13" w:type="dxa"/>
              <w:bottom w:w="0" w:type="dxa"/>
              <w:right w:w="13" w:type="dxa"/>
            </w:tcMar>
            <w:vAlign w:val="center"/>
          </w:tcPr>
          <w:p>
            <w:pPr>
              <w:widowControl/>
              <w:spacing w:line="360" w:lineRule="auto"/>
              <w:ind w:firstLine="420" w:firstLineChars="200"/>
              <w:jc w:val="left"/>
              <w:rPr>
                <w:rFonts w:ascii="宋体" w:eastAsia="宋体" w:hAnsi="宋体" w:cs="宋体"/>
                <w:b/>
                <w:bCs/>
                <w:szCs w:val="21"/>
                <w:highlight w:val="none"/>
              </w:rPr>
            </w:pPr>
            <w:r>
              <w:rPr>
                <w:rFonts w:ascii="宋体" w:eastAsia="宋体" w:hAnsi="宋体" w:cs="宋体" w:hint="eastAsia"/>
                <w:b/>
                <w:bCs/>
                <w:szCs w:val="21"/>
                <w:highlight w:val="none"/>
              </w:rPr>
              <w:t>小计</w:t>
            </w:r>
          </w:p>
        </w:tc>
      </w:tr>
      <w:tr>
        <w:tblPrEx>
          <w:tblW w:w="9346" w:type="dxa"/>
          <w:tblInd w:w="0" w:type="dxa"/>
          <w:tblCellMar>
            <w:top w:w="0" w:type="dxa"/>
            <w:left w:w="0" w:type="dxa"/>
            <w:bottom w:w="0" w:type="dxa"/>
            <w:right w:w="0" w:type="dxa"/>
          </w:tblCellMar>
        </w:tblPrEx>
        <w:trPr>
          <w:trHeight w:val="432"/>
        </w:trPr>
        <w:tc>
          <w:tcPr>
            <w:tcW w:w="112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326</w:t>
            </w:r>
          </w:p>
        </w:tc>
        <w:tc>
          <w:tcPr>
            <w:tcW w:w="1418"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202</w:t>
            </w:r>
          </w:p>
        </w:tc>
        <w:tc>
          <w:tcPr>
            <w:tcW w:w="1276"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243</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41</w:t>
            </w:r>
          </w:p>
        </w:tc>
        <w:tc>
          <w:tcPr>
            <w:tcW w:w="992"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45</w:t>
            </w:r>
          </w:p>
        </w:tc>
        <w:tc>
          <w:tcPr>
            <w:tcW w:w="1134" w:type="dxa"/>
            <w:shd w:val="clear" w:color="auto" w:fill="auto"/>
            <w:tcMar>
              <w:top w:w="13" w:type="dxa"/>
              <w:left w:w="13" w:type="dxa"/>
              <w:bottom w:w="0" w:type="dxa"/>
              <w:right w:w="13" w:type="dxa"/>
            </w:tcMar>
            <w:vAlign w:val="center"/>
          </w:tcPr>
          <w:p>
            <w:pPr>
              <w:widowControl/>
              <w:spacing w:line="360" w:lineRule="auto"/>
              <w:ind w:firstLine="420" w:firstLineChars="200"/>
              <w:jc w:val="left"/>
              <w:rPr>
                <w:rFonts w:ascii="宋体" w:eastAsia="宋体" w:hAnsi="宋体" w:cs="宋体"/>
                <w:szCs w:val="21"/>
                <w:highlight w:val="none"/>
              </w:rPr>
            </w:pPr>
            <w:r>
              <w:rPr>
                <w:rFonts w:ascii="宋体" w:eastAsia="宋体" w:hAnsi="宋体" w:cs="宋体" w:hint="eastAsia"/>
                <w:szCs w:val="21"/>
                <w:highlight w:val="none"/>
              </w:rPr>
              <w:t>857</w:t>
            </w:r>
          </w:p>
        </w:tc>
      </w:tr>
      <w:tr>
        <w:tblPrEx>
          <w:tblW w:w="9346" w:type="dxa"/>
          <w:tblInd w:w="0" w:type="dxa"/>
          <w:tblCellMar>
            <w:top w:w="0" w:type="dxa"/>
            <w:left w:w="0" w:type="dxa"/>
            <w:bottom w:w="0" w:type="dxa"/>
            <w:right w:w="0" w:type="dxa"/>
          </w:tblCellMar>
        </w:tblPrEx>
        <w:trPr>
          <w:trHeight w:val="439"/>
        </w:trPr>
        <w:tc>
          <w:tcPr>
            <w:tcW w:w="112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523</w:t>
            </w:r>
          </w:p>
        </w:tc>
        <w:tc>
          <w:tcPr>
            <w:tcW w:w="1418"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128</w:t>
            </w:r>
          </w:p>
        </w:tc>
        <w:tc>
          <w:tcPr>
            <w:tcW w:w="1276"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89</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2</w:t>
            </w:r>
          </w:p>
        </w:tc>
        <w:tc>
          <w:tcPr>
            <w:tcW w:w="992"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3</w:t>
            </w:r>
          </w:p>
        </w:tc>
        <w:tc>
          <w:tcPr>
            <w:tcW w:w="1134" w:type="dxa"/>
            <w:shd w:val="clear" w:color="auto" w:fill="auto"/>
            <w:tcMar>
              <w:top w:w="13" w:type="dxa"/>
              <w:left w:w="13" w:type="dxa"/>
              <w:bottom w:w="0" w:type="dxa"/>
              <w:right w:w="13" w:type="dxa"/>
            </w:tcMar>
            <w:vAlign w:val="center"/>
          </w:tcPr>
          <w:p>
            <w:pPr>
              <w:widowControl/>
              <w:spacing w:line="360" w:lineRule="auto"/>
              <w:ind w:firstLine="420" w:firstLineChars="200"/>
              <w:jc w:val="left"/>
              <w:rPr>
                <w:rFonts w:ascii="宋体" w:eastAsia="宋体" w:hAnsi="宋体" w:cs="宋体"/>
                <w:szCs w:val="21"/>
                <w:highlight w:val="none"/>
              </w:rPr>
            </w:pPr>
            <w:r>
              <w:rPr>
                <w:rFonts w:ascii="宋体" w:eastAsia="宋体" w:hAnsi="宋体" w:cs="宋体" w:hint="eastAsia"/>
                <w:szCs w:val="21"/>
                <w:highlight w:val="none"/>
              </w:rPr>
              <w:t>745</w:t>
            </w:r>
          </w:p>
        </w:tc>
      </w:tr>
      <w:tr>
        <w:tblPrEx>
          <w:tblW w:w="9346" w:type="dxa"/>
          <w:tblInd w:w="0" w:type="dxa"/>
          <w:tblCellMar>
            <w:top w:w="0" w:type="dxa"/>
            <w:left w:w="0" w:type="dxa"/>
            <w:bottom w:w="0" w:type="dxa"/>
            <w:right w:w="0" w:type="dxa"/>
          </w:tblCellMar>
        </w:tblPrEx>
        <w:trPr>
          <w:trHeight w:val="465"/>
        </w:trPr>
        <w:tc>
          <w:tcPr>
            <w:tcW w:w="112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1418"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4</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318</w:t>
            </w:r>
          </w:p>
        </w:tc>
        <w:tc>
          <w:tcPr>
            <w:tcW w:w="1276"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107</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13</w:t>
            </w:r>
          </w:p>
        </w:tc>
        <w:tc>
          <w:tcPr>
            <w:tcW w:w="992"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15</w:t>
            </w:r>
          </w:p>
        </w:tc>
        <w:tc>
          <w:tcPr>
            <w:tcW w:w="1134" w:type="dxa"/>
            <w:shd w:val="clear" w:color="auto" w:fill="auto"/>
            <w:tcMar>
              <w:top w:w="13" w:type="dxa"/>
              <w:left w:w="13" w:type="dxa"/>
              <w:bottom w:w="0" w:type="dxa"/>
              <w:right w:w="13" w:type="dxa"/>
            </w:tcMar>
            <w:vAlign w:val="center"/>
          </w:tcPr>
          <w:p>
            <w:pPr>
              <w:widowControl/>
              <w:spacing w:line="360" w:lineRule="auto"/>
              <w:ind w:firstLine="420" w:firstLineChars="200"/>
              <w:jc w:val="left"/>
              <w:rPr>
                <w:rFonts w:ascii="宋体" w:eastAsia="宋体" w:hAnsi="宋体" w:cs="宋体"/>
                <w:szCs w:val="21"/>
                <w:highlight w:val="none"/>
              </w:rPr>
            </w:pPr>
            <w:r>
              <w:rPr>
                <w:rFonts w:ascii="宋体" w:eastAsia="宋体" w:hAnsi="宋体" w:cs="宋体" w:hint="eastAsia"/>
                <w:szCs w:val="21"/>
                <w:highlight w:val="none"/>
              </w:rPr>
              <w:t>457</w:t>
            </w:r>
          </w:p>
        </w:tc>
      </w:tr>
      <w:tr>
        <w:tblPrEx>
          <w:tblW w:w="9346" w:type="dxa"/>
          <w:tblInd w:w="0" w:type="dxa"/>
          <w:tblCellMar>
            <w:top w:w="0" w:type="dxa"/>
            <w:left w:w="0" w:type="dxa"/>
            <w:bottom w:w="0" w:type="dxa"/>
            <w:right w:w="0" w:type="dxa"/>
          </w:tblCellMar>
        </w:tblPrEx>
        <w:trPr>
          <w:trHeight w:val="421"/>
        </w:trPr>
        <w:tc>
          <w:tcPr>
            <w:tcW w:w="112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总计</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849</w:t>
            </w:r>
          </w:p>
        </w:tc>
        <w:tc>
          <w:tcPr>
            <w:tcW w:w="1418"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4</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648</w:t>
            </w:r>
          </w:p>
        </w:tc>
        <w:tc>
          <w:tcPr>
            <w:tcW w:w="1276"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439</w:t>
            </w:r>
          </w:p>
        </w:tc>
        <w:tc>
          <w:tcPr>
            <w:tcW w:w="1134"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56</w:t>
            </w:r>
          </w:p>
        </w:tc>
        <w:tc>
          <w:tcPr>
            <w:tcW w:w="992" w:type="dxa"/>
            <w:shd w:val="clear" w:color="auto" w:fill="auto"/>
            <w:tcMar>
              <w:top w:w="13" w:type="dxa"/>
              <w:left w:w="13" w:type="dxa"/>
              <w:bottom w:w="0" w:type="dxa"/>
              <w:right w:w="13" w:type="dxa"/>
            </w:tcMar>
            <w:vAlign w:val="center"/>
          </w:tcPr>
          <w:p>
            <w:pPr>
              <w:widowControl/>
              <w:spacing w:line="360"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63</w:t>
            </w:r>
          </w:p>
        </w:tc>
        <w:tc>
          <w:tcPr>
            <w:tcW w:w="1134" w:type="dxa"/>
            <w:shd w:val="clear" w:color="auto" w:fill="auto"/>
            <w:tcMar>
              <w:top w:w="13" w:type="dxa"/>
              <w:left w:w="13" w:type="dxa"/>
              <w:bottom w:w="0" w:type="dxa"/>
              <w:right w:w="13" w:type="dxa"/>
            </w:tcMar>
            <w:vAlign w:val="center"/>
          </w:tcPr>
          <w:p>
            <w:pPr>
              <w:widowControl/>
              <w:spacing w:line="360" w:lineRule="auto"/>
              <w:ind w:firstLine="420" w:firstLineChars="200"/>
              <w:jc w:val="left"/>
              <w:rPr>
                <w:rFonts w:ascii="宋体" w:eastAsia="宋体" w:hAnsi="宋体" w:cs="宋体"/>
                <w:szCs w:val="21"/>
                <w:highlight w:val="none"/>
              </w:rPr>
            </w:pPr>
            <w:r>
              <w:rPr>
                <w:rFonts w:ascii="宋体" w:eastAsia="宋体" w:hAnsi="宋体" w:cs="宋体" w:hint="eastAsia"/>
                <w:szCs w:val="21"/>
                <w:highlight w:val="none"/>
              </w:rPr>
              <w:t>2059</w:t>
            </w:r>
          </w:p>
        </w:tc>
      </w:tr>
    </w:tbl>
    <w:p>
      <w:pPr>
        <w:widowControl/>
        <w:spacing w:line="360" w:lineRule="auto"/>
        <w:ind w:firstLine="420" w:firstLineChars="200"/>
        <w:rPr>
          <w:rFonts w:ascii="宋体" w:eastAsia="宋体" w:hAnsi="宋体" w:cs="宋体"/>
          <w:sz w:val="24"/>
          <w:highlight w:val="none"/>
        </w:rPr>
      </w:pPr>
      <w:r>
        <w:rPr>
          <w:rFonts w:ascii="宋体" w:eastAsia="宋体" w:hAnsi="宋体" w:cs="宋体"/>
          <w:sz w:val="24"/>
          <w:highlight w:val="none"/>
        </w:rPr>
        <w:t>5</w:t>
      </w:r>
      <w:r>
        <w:rPr>
          <w:rFonts w:ascii="宋体" w:eastAsia="宋体" w:hAnsi="宋体" w:cs="宋体" w:hint="eastAsia"/>
          <w:sz w:val="24"/>
          <w:highlight w:val="none"/>
        </w:rPr>
        <w:t>.根据区域类型不同，规划考虑多种移动通信制式并存和数据业务的影响，按覆盖预测5G基站，预测各城区需基站数量如下。</w:t>
      </w:r>
    </w:p>
    <w:p>
      <w:pPr>
        <w:widowControl/>
        <w:spacing w:line="360" w:lineRule="auto"/>
        <w:ind w:firstLine="420" w:firstLineChars="200"/>
        <w:jc w:val="center"/>
        <w:rPr>
          <w:rFonts w:ascii="宋体" w:eastAsia="宋体" w:hAnsi="宋体" w:cs="宋体"/>
          <w:sz w:val="28"/>
          <w:szCs w:val="28"/>
          <w:highlight w:val="none"/>
        </w:rPr>
      </w:pPr>
      <w:r>
        <w:rPr>
          <w:rFonts w:ascii="宋体" w:eastAsia="宋体" w:hAnsi="宋体" w:cs="宋体" w:hint="eastAsia"/>
          <w:b/>
          <w:bCs/>
          <w:szCs w:val="21"/>
          <w:highlight w:val="none"/>
        </w:rPr>
        <w:t>表6-10 各城区基站规划数量</w:t>
      </w:r>
    </w:p>
    <w:p>
      <w:pPr>
        <w:pStyle w:val="Heading3"/>
        <w:spacing w:before="480" w:line="360" w:lineRule="auto"/>
        <w:rPr>
          <w:rFonts w:ascii="宋体" w:eastAsia="宋体" w:hAnsi="宋体" w:cs="宋体"/>
          <w:sz w:val="28"/>
          <w:szCs w:val="28"/>
          <w:highlight w:val="none"/>
        </w:rPr>
      </w:pPr>
      <w:bookmarkStart w:id="77" w:name="_Toc15579"/>
      <w:r>
        <w:rPr>
          <w:rFonts w:ascii="宋体" w:eastAsia="宋体" w:hAnsi="宋体" w:cs="宋体" w:hint="eastAsia"/>
          <w:sz w:val="28"/>
          <w:szCs w:val="28"/>
          <w:highlight w:val="none"/>
        </w:rPr>
        <w:t>八、5G基站（宏基站）规划覆盖范围</w:t>
      </w:r>
      <w:bookmarkEnd w:id="77"/>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规划至期末（2030年），5G无线室外覆盖率目标95%，剩余部分覆盖弱点预计主要分布在新建楼宇电梯、地下室、封闭室内、人烟稀少郊区农村，各运营商也将通过实地测试、投诉收集、系统分析等各方面收集覆盖需求、滚动规划宏基站（楼面站、地面塔站、微站、射灯站、水泥杆站）、室内分布系统结合周边环境条件增补基站提升覆盖深度，解决网络问题。</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w:t>
      </w:r>
      <w:r>
        <w:rPr>
          <w:rFonts w:ascii="宋体" w:eastAsia="宋体" w:hAnsi="宋体" w:cs="宋体"/>
          <w:sz w:val="24"/>
          <w:highlight w:val="none"/>
        </w:rPr>
        <w:t>.</w:t>
      </w:r>
      <w:r>
        <w:rPr>
          <w:rFonts w:ascii="宋体" w:eastAsia="宋体" w:hAnsi="宋体" w:cs="宋体" w:hint="eastAsia"/>
          <w:sz w:val="24"/>
          <w:highlight w:val="none"/>
        </w:rPr>
        <w:t>充分利用传输宽带杆路电力杆灵活解决覆盖问题路减少基站占用地。</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w:t>
      </w:r>
      <w:r>
        <w:rPr>
          <w:rFonts w:ascii="宋体" w:eastAsia="宋体" w:hAnsi="宋体" w:cs="宋体"/>
          <w:sz w:val="24"/>
          <w:highlight w:val="none"/>
        </w:rPr>
        <w:t>.</w:t>
      </w:r>
      <w:r>
        <w:rPr>
          <w:rFonts w:ascii="宋体" w:eastAsia="宋体" w:hAnsi="宋体" w:cs="宋体" w:hint="eastAsia"/>
          <w:sz w:val="24"/>
          <w:highlight w:val="none"/>
        </w:rPr>
        <w:t>室内分布补充深度覆盖。</w:t>
      </w:r>
    </w:p>
    <w:p>
      <w:pPr>
        <w:pStyle w:val="Heading3"/>
        <w:spacing w:before="480" w:line="360" w:lineRule="auto"/>
        <w:rPr>
          <w:rFonts w:ascii="宋体" w:eastAsia="宋体" w:hAnsi="宋体" w:cs="宋体"/>
          <w:sz w:val="28"/>
          <w:szCs w:val="28"/>
          <w:highlight w:val="none"/>
        </w:rPr>
      </w:pPr>
      <w:bookmarkStart w:id="78" w:name="_Toc8814"/>
      <w:r>
        <w:rPr>
          <w:rFonts w:ascii="宋体" w:eastAsia="宋体" w:hAnsi="宋体" w:cs="宋体" w:hint="eastAsia"/>
          <w:sz w:val="28"/>
          <w:szCs w:val="28"/>
          <w:highlight w:val="none"/>
        </w:rPr>
        <w:t>九、5G基站（宏基站）中低空覆盖</w:t>
      </w:r>
      <w:bookmarkEnd w:id="78"/>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（1）覆盖目标：预规划50个覆盖高空基站（高空基站或铁塔站），并预留无人机平台。主要覆盖北海主城区、铁山港区以及涠洲岛、工业园区等热点场景，覆盖高度：30~150米左右。</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（2）应用行业：道路巡检、智慧交警、应急通信和救援，无人机物流、无人机消防、无人机边境巡逻等等，各行各业都能够找到和5G无人机的交集。</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建设需求规划：空中覆盖需求以各行业需求为导向打造专用区域网络，可利用原有基站或新建基站设备用倒装的方式，机械下倾角朝上倾斜，形成4.9G频段从上往下+2.6频段从下往上协同对空中覆盖进行专网覆盖。</w:t>
      </w:r>
    </w:p>
    <w:p>
      <w:pPr>
        <w:widowControl/>
        <w:spacing w:line="360" w:lineRule="auto"/>
        <w:ind w:firstLine="420" w:firstLineChars="200"/>
        <w:rPr>
          <w:rFonts w:ascii="宋体" w:eastAsia="宋体" w:hAnsi="宋体" w:cs="宋体"/>
          <w:b/>
          <w:bCs/>
          <w:sz w:val="24"/>
          <w:highlight w:val="none"/>
        </w:rPr>
      </w:pPr>
      <w:r>
        <w:rPr>
          <w:rFonts w:ascii="宋体" w:eastAsia="宋体" w:hAnsi="宋体" w:cs="宋体"/>
          <w:b/>
          <w:bCs/>
          <w:sz w:val="24"/>
          <w:highlight w:val="none"/>
        </w:rPr>
        <w:drawing>
          <wp:inline distT="0" distB="0" distL="0" distR="0">
            <wp:extent cx="2643505" cy="2062480"/>
            <wp:effectExtent l="0" t="0" r="4445" b="0"/>
            <wp:docPr id="53" name="图片 8"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descr="图示, 工程绘图&#10;&#10;描述已自动生成"/>
                    <pic:cNvPicPr>
                      <a:picLocks noChangeAspect="1"/>
                    </pic:cNvPicPr>
                  </pic:nvPicPr>
                  <pic:blipFill>
                    <a:blip xmlns:r="http://schemas.openxmlformats.org/officeDocument/2006/relationships" r:embed="rId52"/>
                    <a:stretch>
                      <a:fillRect/>
                    </a:stretch>
                  </pic:blipFill>
                  <pic:spPr>
                    <a:xfrm>
                      <a:off x="0" y="0"/>
                      <a:ext cx="2643505" cy="2062480"/>
                    </a:xfrm>
                    <a:prstGeom prst="rect">
                      <a:avLst/>
                    </a:prstGeom>
                  </pic:spPr>
                </pic:pic>
              </a:graphicData>
            </a:graphic>
          </wp:inline>
        </w:drawing>
      </w:r>
      <w:r>
        <w:rPr>
          <w:rFonts w:ascii="宋体" w:eastAsia="宋体" w:hAnsi="宋体" w:cs="宋体"/>
          <w:b/>
          <w:bCs/>
          <w:sz w:val="24"/>
          <w:highlight w:val="none"/>
        </w:rPr>
        <w:drawing>
          <wp:inline distT="0" distB="0" distL="0" distR="0">
            <wp:extent cx="2598420" cy="2008505"/>
            <wp:effectExtent l="0" t="0" r="0" b="0"/>
            <wp:docPr id="54" name="图片 9" descr="在路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descr="在路上&#10;&#10;描述已自动生成"/>
                    <pic:cNvPicPr>
                      <a:picLocks noChangeAspect="1"/>
                    </pic:cNvPicPr>
                  </pic:nvPicPr>
                  <pic:blipFill>
                    <a:blip xmlns:r="http://schemas.openxmlformats.org/officeDocument/2006/relationships" r:embed="rId53"/>
                    <a:stretch>
                      <a:fillRect/>
                    </a:stretch>
                  </pic:blipFill>
                  <pic:spPr>
                    <a:xfrm>
                      <a:off x="0" y="0"/>
                      <a:ext cx="2612239" cy="2019202"/>
                    </a:xfrm>
                    <a:prstGeom prst="rect">
                      <a:avLst/>
                    </a:prstGeom>
                  </pic:spPr>
                </pic:pic>
              </a:graphicData>
            </a:graphic>
          </wp:inline>
        </w:drawing>
      </w:r>
    </w:p>
    <w:p>
      <w:pPr>
        <w:widowControl/>
        <w:spacing w:line="360" w:lineRule="auto"/>
        <w:ind w:firstLine="420" w:firstLineChars="200"/>
        <w:jc w:val="center"/>
        <w:rPr>
          <w:rFonts w:ascii="宋体" w:eastAsia="宋体" w:hAnsi="宋体" w:cs="宋体"/>
          <w:b/>
          <w:bCs/>
          <w:sz w:val="24"/>
          <w:highlight w:val="none"/>
        </w:rPr>
      </w:pPr>
      <w:r>
        <w:rPr>
          <w:rFonts w:ascii="宋体" w:eastAsia="宋体" w:hAnsi="宋体" w:cs="宋体" w:hint="eastAsia"/>
          <w:b/>
          <w:bCs/>
          <w:sz w:val="24"/>
          <w:highlight w:val="none"/>
        </w:rPr>
        <w:t>图6</w:t>
      </w:r>
      <w:r>
        <w:rPr>
          <w:rFonts w:ascii="宋体" w:eastAsia="宋体" w:hAnsi="宋体" w:cs="宋体"/>
          <w:b/>
          <w:bCs/>
          <w:sz w:val="24"/>
          <w:highlight w:val="none"/>
        </w:rPr>
        <w:t xml:space="preserve">-5 </w:t>
      </w:r>
      <w:r>
        <w:rPr>
          <w:rFonts w:ascii="宋体" w:eastAsia="宋体" w:hAnsi="宋体" w:cs="宋体" w:hint="eastAsia"/>
          <w:b/>
          <w:bCs/>
          <w:sz w:val="24"/>
          <w:highlight w:val="none"/>
        </w:rPr>
        <w:t>塔基无人机场和固定式无人机机巢</w:t>
      </w:r>
    </w:p>
    <w:p>
      <w:pPr>
        <w:pStyle w:val="Heading3"/>
        <w:spacing w:before="480" w:line="360" w:lineRule="auto"/>
        <w:rPr>
          <w:rFonts w:ascii="宋体" w:eastAsia="宋体" w:hAnsi="宋体" w:cs="宋体"/>
          <w:sz w:val="28"/>
          <w:szCs w:val="28"/>
          <w:highlight w:val="none"/>
        </w:rPr>
      </w:pPr>
      <w:bookmarkStart w:id="79" w:name="_Toc8026"/>
      <w:r>
        <w:rPr>
          <w:rFonts w:ascii="宋体" w:eastAsia="宋体" w:hAnsi="宋体" w:cs="宋体" w:hint="eastAsia"/>
          <w:sz w:val="28"/>
          <w:szCs w:val="28"/>
          <w:highlight w:val="none"/>
        </w:rPr>
        <w:t>十、5G基站（宏基站）规划海面覆盖</w:t>
      </w:r>
      <w:bookmarkEnd w:id="79"/>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（1）总体原则：以实现北部湾海域5G连续覆盖为目标，规划22个海面站点,预估完成沿海50KM海面覆盖，深海255KM。</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（2）深海覆盖：陆地基站优先选择距离海岸线1公里范围内、站址天线挂高较高站址进行共址建设；同时充分利用涠洲岛、斜阳岛、钻井平台资源建设海上基站，实现5G延伸覆盖。</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（3）沿海覆盖：在距离海岸线1公里范围内、按20公里站间距，选择站址海拔高、塔桅高的站址进行建设5G。</w:t>
      </w:r>
    </w:p>
    <w:p>
      <w:pPr>
        <w:widowControl/>
        <w:jc w:val="left"/>
        <w:rPr>
          <w:rFonts w:ascii="宋体" w:eastAsia="宋体" w:hAnsi="宋体" w:cs="宋体"/>
          <w:kern w:val="0"/>
          <w:sz w:val="24"/>
          <w:szCs w:val="24"/>
          <w:highlight w:val="none"/>
        </w:rPr>
      </w:pPr>
      <w:r>
        <w:rPr>
          <w:rFonts w:ascii="宋体" w:eastAsia="宋体" w:hAnsi="宋体" w:cs="宋体"/>
          <w:kern w:val="0"/>
          <w:sz w:val="24"/>
          <w:szCs w:val="24"/>
          <w:highlight w:val="none"/>
        </w:rPr>
        <w:drawing>
          <wp:inline distT="0" distB="0" distL="0" distR="0">
            <wp:extent cx="2549525" cy="3171825"/>
            <wp:effectExtent l="0" t="0" r="3175" b="0"/>
            <wp:docPr id="56" name="图片 5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地图&#10;&#10;描述已自动生成"/>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2554512" cy="3177986"/>
                    </a:xfrm>
                    <a:prstGeom prst="rect">
                      <a:avLst/>
                    </a:prstGeom>
                    <a:noFill/>
                    <a:ln>
                      <a:noFill/>
                    </a:ln>
                  </pic:spPr>
                </pic:pic>
              </a:graphicData>
            </a:graphic>
          </wp:inline>
        </w:drawing>
      </w:r>
      <w:r>
        <w:rPr>
          <w:highlight w:val="none"/>
        </w:rPr>
        <w:t xml:space="preserve"> </w:t>
      </w:r>
      <w:r>
        <w:rPr>
          <w:rFonts w:ascii="宋体" w:eastAsia="宋体" w:hAnsi="宋体" w:cs="宋体"/>
          <w:kern w:val="0"/>
          <w:sz w:val="24"/>
          <w:szCs w:val="24"/>
          <w:highlight w:val="none"/>
        </w:rPr>
        <w:drawing>
          <wp:inline distT="0" distB="0" distL="0" distR="0">
            <wp:extent cx="3413125" cy="3123565"/>
            <wp:effectExtent l="0" t="0" r="0" b="635"/>
            <wp:docPr id="60" name="图片 6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地图&#10;&#10;描述已自动生成"/>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rcRect b="3313"/>
                    <a:stretch>
                      <a:fillRect/>
                    </a:stretch>
                  </pic:blipFill>
                  <pic:spPr>
                    <a:xfrm>
                      <a:off x="0" y="0"/>
                      <a:ext cx="3429674" cy="3138226"/>
                    </a:xfrm>
                    <a:prstGeom prst="rect">
                      <a:avLst/>
                    </a:prstGeom>
                    <a:noFill/>
                    <a:ln>
                      <a:noFill/>
                    </a:ln>
                  </pic:spPr>
                </pic:pic>
              </a:graphicData>
            </a:graphic>
          </wp:inline>
        </w:drawing>
      </w:r>
    </w:p>
    <w:p>
      <w:pPr>
        <w:widowControl/>
        <w:spacing w:line="360" w:lineRule="auto"/>
        <w:ind w:firstLine="420" w:firstLineChars="200"/>
        <w:jc w:val="center"/>
        <w:rPr>
          <w:rFonts w:ascii="宋体" w:eastAsia="宋体" w:hAnsi="宋体" w:cs="宋体"/>
          <w:b/>
          <w:bCs/>
          <w:sz w:val="24"/>
          <w:highlight w:val="none"/>
        </w:rPr>
      </w:pPr>
      <w:r>
        <w:rPr>
          <w:rFonts w:ascii="宋体" w:eastAsia="宋体" w:hAnsi="宋体" w:cs="宋体" w:hint="eastAsia"/>
          <w:b/>
          <w:bCs/>
          <w:sz w:val="24"/>
          <w:highlight w:val="none"/>
        </w:rPr>
        <w:t>图6</w:t>
      </w:r>
      <w:r>
        <w:rPr>
          <w:rFonts w:ascii="宋体" w:eastAsia="宋体" w:hAnsi="宋体" w:cs="宋体"/>
          <w:b/>
          <w:bCs/>
          <w:sz w:val="24"/>
          <w:highlight w:val="none"/>
        </w:rPr>
        <w:t>-6  5</w:t>
      </w:r>
      <w:r>
        <w:rPr>
          <w:rFonts w:ascii="宋体" w:eastAsia="宋体" w:hAnsi="宋体" w:cs="宋体" w:hint="eastAsia"/>
          <w:b/>
          <w:bCs/>
          <w:sz w:val="24"/>
          <w:highlight w:val="none"/>
        </w:rPr>
        <w:t>G海面覆盖规划和海面覆盖预估仿真图</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b/>
          <w:bCs/>
          <w:sz w:val="24"/>
          <w:highlight w:val="none"/>
        </w:rPr>
        <w:t>（注：仿真图基于基站发射率、站址分布、海拔高度、地形、地球椭球体曲面等因素综合分析呈不规则形状仿真覆盖效果。）</w:t>
      </w:r>
    </w:p>
    <w:p>
      <w:pPr>
        <w:pStyle w:val="Heading3"/>
        <w:spacing w:before="480" w:line="360" w:lineRule="auto"/>
        <w:rPr>
          <w:rFonts w:ascii="宋体" w:eastAsia="宋体" w:hAnsi="宋体" w:cs="宋体"/>
          <w:sz w:val="28"/>
          <w:szCs w:val="28"/>
          <w:highlight w:val="none"/>
        </w:rPr>
      </w:pPr>
      <w:bookmarkStart w:id="80" w:name="_Toc16219"/>
      <w:r>
        <w:rPr>
          <w:rFonts w:ascii="宋体" w:eastAsia="宋体" w:hAnsi="宋体" w:cs="宋体" w:hint="eastAsia"/>
          <w:sz w:val="28"/>
          <w:szCs w:val="28"/>
          <w:highlight w:val="none"/>
        </w:rPr>
        <w:t>十一、5G基站社会资源储备</w:t>
      </w:r>
      <w:bookmarkEnd w:id="80"/>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未来5G主要以宏站+微站的方式组网为主，宏站用于广覆盖，微站用于热点盲点补充，通常一个宏站周边需要布点5~10个微站。在现有的宏基站规划布点的基础上，微站选取宏基站周边社会资源杆塔（包括路灯灯杆、交通监控杆、公安监控杆、交通信号灯、电力杆塔等）进行补充布点。根据《广西加快5G产业发展行动计划（2019—2021年）》（桂数广发〔2019〕4号）的要求，北海市市行政区域范围内基站建设所涉公共资源，包括但不仅限于国家机关、事业单位、国有企业、学校、医院、大型场馆、楼宇小区、等所属建筑物，以及公路、公路用地范围内、铁路及其线路两侧安全保护区、隧道、桥梁、机场、地铁、各类车站、港口、码头、渡口内河航道及岸线、通航建筑物、城市轨道交通、旅游景区、公园绿地、林地等公共区域和路灯、监控杄、道路指示牌等公共设施，以政府、国有投资为主的公共资源，除法律法规另有规定外，应免费开放所属非涉密楼宇及公共区域，为5G网络设施部署提供便利。社会所属建筑物及空间若需收费，必须在政府指导限价下执行。</w:t>
      </w:r>
    </w:p>
    <w:p>
      <w:pPr>
        <w:pStyle w:val="Heading3"/>
        <w:spacing w:before="480" w:line="360" w:lineRule="auto"/>
        <w:ind w:firstLine="420" w:firstLineChars="200"/>
        <w:rPr>
          <w:rFonts w:ascii="宋体" w:eastAsia="宋体" w:hAnsi="宋体" w:cs="宋体"/>
          <w:sz w:val="28"/>
          <w:szCs w:val="28"/>
          <w:highlight w:val="none"/>
        </w:rPr>
      </w:pPr>
      <w:bookmarkStart w:id="81" w:name="_Toc31742"/>
      <w:r>
        <w:rPr>
          <w:rFonts w:ascii="宋体" w:eastAsia="宋体" w:hAnsi="宋体" w:cs="宋体" w:hint="eastAsia"/>
          <w:sz w:val="28"/>
          <w:szCs w:val="28"/>
          <w:highlight w:val="none"/>
        </w:rPr>
        <w:t>十二、热点容量保障方案</w:t>
      </w:r>
      <w:bookmarkEnd w:id="81"/>
    </w:p>
    <w:p>
      <w:pPr>
        <w:widowControl/>
        <w:spacing w:line="360" w:lineRule="auto"/>
        <w:ind w:firstLine="420" w:firstLineChars="200"/>
        <w:rPr>
          <w:rFonts w:ascii="宋体" w:eastAsia="宋体" w:hAnsi="宋体" w:cs="宋体"/>
          <w:sz w:val="24"/>
          <w:highlight w:val="none"/>
        </w:rPr>
      </w:pPr>
      <w:r>
        <w:rPr>
          <w:rFonts w:ascii="宋体" w:eastAsia="宋体" w:hAnsi="宋体" w:cs="宋体"/>
          <w:sz w:val="24"/>
          <w:highlight w:val="none"/>
        </w:rPr>
        <w:t>1</w:t>
      </w:r>
      <w:r>
        <w:rPr>
          <w:rFonts w:ascii="宋体" w:eastAsia="宋体" w:hAnsi="宋体" w:cs="宋体" w:hint="eastAsia"/>
          <w:sz w:val="24"/>
          <w:highlight w:val="none"/>
        </w:rPr>
        <w:t>、热点容量保障方案：运营商结合往年人流量情况，制定网络保障方案。梳理主会场、交通枢纽、高速公路、商业中心、高校等关键区域站点明细，采用大话务参数配置、动态负荷分担、多频段分层等措施，分类开展网络业务量预估和保障，提前完成宏、微、杆、室超密立体协同组网规划建设，全力保障各业务热点场景通信需求。</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临时容量保障方案：联动当地文旅收集节日、活动期间景区、公园等重点场所活动，提前摸底排查热点区域开展主动扩容。成立专项保障团队开展活动前测试扩容，活动中动态保障，通过软件扩容、硬件扩容、应急车开通方式，采用多系统、多频组网，快速支撑活动场地网络容量。</w:t>
      </w:r>
    </w:p>
    <w:p>
      <w:pPr>
        <w:widowControl/>
        <w:spacing w:line="360" w:lineRule="auto"/>
        <w:rPr>
          <w:rFonts w:ascii="宋体" w:eastAsia="宋体" w:hAnsi="宋体" w:cs="宋体"/>
          <w:sz w:val="24"/>
          <w:highlight w:val="none"/>
        </w:rPr>
      </w:pPr>
    </w:p>
    <w:p>
      <w:pPr>
        <w:pStyle w:val="Heading2"/>
        <w:keepNext/>
        <w:keepLines/>
        <w:spacing w:line="360" w:lineRule="auto"/>
        <w:ind w:left="0" w:firstLine="420" w:firstLineChars="200"/>
        <w:rPr>
          <w:rFonts w:ascii="宋体" w:eastAsia="宋体" w:hAnsi="宋体" w:cs="宋体"/>
          <w:sz w:val="32"/>
          <w:szCs w:val="32"/>
          <w:highlight w:val="none"/>
        </w:rPr>
      </w:pPr>
      <w:bookmarkStart w:id="82" w:name="_Toc3413"/>
      <w:bookmarkStart w:id="83" w:name="_Toc41931661"/>
      <w:r>
        <w:rPr>
          <w:rFonts w:ascii="宋体" w:eastAsia="宋体" w:hAnsi="宋体" w:cs="宋体" w:hint="eastAsia"/>
          <w:sz w:val="32"/>
          <w:szCs w:val="32"/>
          <w:highlight w:val="none"/>
        </w:rPr>
        <w:t>第七章 5G通信室内分布基站基础设施规划</w:t>
      </w:r>
      <w:bookmarkEnd w:id="82"/>
      <w:bookmarkEnd w:id="83"/>
    </w:p>
    <w:p>
      <w:pPr>
        <w:pStyle w:val="Heading3"/>
        <w:spacing w:line="360" w:lineRule="auto"/>
        <w:ind w:firstLine="420" w:firstLineChars="200"/>
        <w:rPr>
          <w:rFonts w:ascii="宋体" w:eastAsia="宋体" w:hAnsi="宋体" w:cs="宋体"/>
          <w:sz w:val="28"/>
          <w:szCs w:val="28"/>
          <w:highlight w:val="none"/>
        </w:rPr>
      </w:pPr>
      <w:bookmarkStart w:id="84" w:name="_Toc27649"/>
      <w:bookmarkStart w:id="85" w:name="_Toc41931662"/>
      <w:r>
        <w:rPr>
          <w:rFonts w:ascii="宋体" w:eastAsia="宋体" w:hAnsi="宋体" w:cs="宋体" w:hint="eastAsia"/>
          <w:sz w:val="28"/>
          <w:szCs w:val="28"/>
          <w:highlight w:val="none"/>
        </w:rPr>
        <w:t>一、5G通信室内分布基站规划原则</w:t>
      </w:r>
      <w:bookmarkEnd w:id="84"/>
      <w:bookmarkEnd w:id="85"/>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随着城市的快速发展，越来越多的高层建筑的筑起，移动通信用户数量急剧增加，话务密度和覆盖要求也不断上升。在大型建筑物内部、地下商场、地下停车场等环境下，对移动通信信号有一定的阻挡和屏蔽，导致移动通信信号减弱，手机等终端无法正常使用，形成了移动通信的盲区和阴影区。另外，在有些建筑物内，虽然手机能够正常通话，但是用户密度大，基站信道拥挤，导致手机上线困难。因此室内信号覆盖的解决方案变得很重要。</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（一）室分规划原则</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1、多方协同,坚持优化与建设、室外与室内、基站和室内分布协同的基本原则、各种手段解决多网室内覆盖需求。建立宏站和室分联合优化机制,确有需要时再进行室内分布系统的建设。</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2、细化需求,统筹室内覆盖建设需求,强化需求管理。建立例行化需求收集机制，根据室内覆盖需求点周边各项网络环境,结合各运营商网络的室内覆盖建设总体原则,多维度统筹评估需求分析。</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3、多网规划,实现多网统一布局。遵循分布系统一次到位的总体规划原则，综合网络现状及室内覆盖需求特点,分阶段分目标结合投资和建设难易程度综合制定方案。</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4、结合现有资源情况，优先按照现有室内分布系统1:1的比例共址规划建设5G室内分布系统。</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5、新建重要建筑物、构筑物的覆盖需求，应遵循“同时规划、同时建设、同时使用”的原则进行规划建设，避免后期建设的无法协调、难以施工等不利因素。</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6、原有未覆盖重要建筑物、构筑物的覆盖需求，根据场景的重要程度及物业协调情况进行规划建设。</w:t>
      </w:r>
    </w:p>
    <w:p>
      <w:pPr>
        <w:widowControl/>
        <w:spacing w:before="120" w:after="60" w:line="360" w:lineRule="auto"/>
        <w:ind w:firstLine="420" w:firstLineChars="200"/>
        <w:rPr>
          <w:rFonts w:ascii="宋体" w:eastAsia="宋体" w:hAnsi="宋体" w:cs="宋体"/>
          <w:b/>
          <w:bCs/>
          <w:sz w:val="24"/>
          <w:highlight w:val="none"/>
        </w:rPr>
      </w:pPr>
      <w:r>
        <w:rPr>
          <w:rFonts w:ascii="宋体" w:eastAsia="宋体" w:hAnsi="宋体" w:cs="宋体" w:hint="eastAsia"/>
          <w:b/>
          <w:bCs/>
          <w:sz w:val="24"/>
          <w:highlight w:val="none"/>
        </w:rPr>
        <w:t>（二）室分站点信息库建立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为了准确掌握规划期内需要建设室内分布系统的目标楼宇，需要通过市政规划、楼宇摸查、网络收集等渠道采集楼宇信息，以物业点为单位，建立站点信息库。</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站点信息库要求包含建筑物名称、地址、经纬度等站址基础信息，要求包含地市及区域归属属性，并对站点的覆盖现状、产权归属进行核实，同时通过场景分类、人口密度、业务流量进行重要程度排序。</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对从多渠道采集到的站点信息进行需求整合，根据室分规划思路和目标，基于基础电信企业覆盖要求、网络指标要求、场景特点和室分技术特点积极推进室内分布系统的共建共享。</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室分规划以物业点分布为基础，在规划前先根据建筑物类型进行场景划分，明确室分网络覆盖目标及区域。建筑物场景分类如下表：</w:t>
      </w:r>
    </w:p>
    <w:p>
      <w:pPr>
        <w:pStyle w:val="4-"/>
        <w:numPr>
          <w:ilvl w:val="0"/>
          <w:numId w:val="0"/>
        </w:numPr>
        <w:spacing w:line="360" w:lineRule="auto"/>
        <w:rPr>
          <w:rFonts w:ascii="宋体" w:eastAsia="宋体" w:hAnsi="宋体" w:cs="宋体"/>
          <w:color w:val="auto"/>
          <w:kern w:val="0"/>
          <w:sz w:val="22"/>
          <w:szCs w:val="22"/>
          <w:highlight w:val="none"/>
        </w:rPr>
      </w:pPr>
      <w:r>
        <w:rPr>
          <w:rFonts w:ascii="宋体" w:eastAsia="宋体" w:hAnsi="宋体" w:cs="宋体" w:hint="eastAsia"/>
          <w:b/>
          <w:bCs/>
          <w:color w:val="auto"/>
          <w:kern w:val="0"/>
          <w:sz w:val="21"/>
          <w:szCs w:val="21"/>
          <w:highlight w:val="none"/>
        </w:rPr>
        <w:t>表7-1 建筑物场景分类</w:t>
      </w:r>
    </w:p>
    <w:tbl>
      <w:tblPr>
        <w:tblStyle w:val="TableNormal"/>
        <w:tblW w:w="3688" w:type="pct"/>
        <w:jc w:val="center"/>
        <w:tblCellMar>
          <w:top w:w="0" w:type="dxa"/>
          <w:left w:w="108" w:type="dxa"/>
          <w:bottom w:w="0" w:type="dxa"/>
          <w:right w:w="108" w:type="dxa"/>
        </w:tblCellMar>
      </w:tblPr>
      <w:tblGrid>
        <w:gridCol w:w="2612"/>
        <w:gridCol w:w="4792"/>
      </w:tblGrid>
      <w:tr>
        <w:tblPrEx>
          <w:tblW w:w="3688" w:type="pct"/>
          <w:jc w:val="center"/>
          <w:tblCellMar>
            <w:top w:w="0" w:type="dxa"/>
            <w:left w:w="108" w:type="dxa"/>
            <w:bottom w:w="0" w:type="dxa"/>
            <w:right w:w="108" w:type="dxa"/>
          </w:tblCellMar>
        </w:tblPrEx>
        <w:trPr>
          <w:trHeight w:val="492"/>
          <w:tblHeader/>
          <w:jc w:val="center"/>
        </w:trPr>
        <w:tc>
          <w:tcPr>
            <w:tcW w:w="1764" w:type="pct"/>
            <w:tcBorders>
              <w:top w:val="single" w:sz="4" w:space="0" w:color="auto"/>
              <w:left w:val="single" w:sz="4" w:space="0" w:color="auto"/>
              <w:bottom w:val="single" w:sz="4" w:space="0" w:color="auto"/>
              <w:right w:val="nil"/>
            </w:tcBorders>
            <w:noWrap/>
            <w:vAlign w:val="center"/>
          </w:tcPr>
          <w:p>
            <w:pPr>
              <w:widowControl/>
              <w:spacing w:line="312"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建筑物类型</w:t>
            </w:r>
          </w:p>
        </w:tc>
        <w:tc>
          <w:tcPr>
            <w:tcW w:w="3236" w:type="pct"/>
            <w:tcBorders>
              <w:top w:val="single" w:sz="4" w:space="0" w:color="auto"/>
              <w:left w:val="single" w:sz="8" w:space="0" w:color="000000"/>
              <w:bottom w:val="single" w:sz="4" w:space="0" w:color="auto"/>
              <w:right w:val="single" w:sz="4" w:space="0" w:color="auto"/>
            </w:tcBorders>
            <w:vAlign w:val="center"/>
          </w:tcPr>
          <w:p>
            <w:pPr>
              <w:widowControl/>
              <w:spacing w:line="312" w:lineRule="auto"/>
              <w:jc w:val="center"/>
              <w:textAlignment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场景类型</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single" w:sz="4"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交通枢纽</w:t>
            </w:r>
          </w:p>
        </w:tc>
        <w:tc>
          <w:tcPr>
            <w:tcW w:w="3236" w:type="pct"/>
            <w:tcBorders>
              <w:top w:val="single" w:sz="4" w:space="0" w:color="auto"/>
              <w:left w:val="nil"/>
              <w:bottom w:val="single" w:sz="8" w:space="0" w:color="auto"/>
              <w:right w:val="single" w:sz="4"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火车站</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single" w:sz="8"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4"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地铁（含站台和区间）</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single" w:sz="8"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汽车站/公交枢纽/服务区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single" w:sz="8"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码头口岸</w:t>
            </w:r>
          </w:p>
        </w:tc>
      </w:tr>
      <w:tr>
        <w:tblPrEx>
          <w:tblW w:w="3688" w:type="pct"/>
          <w:jc w:val="center"/>
          <w:tblCellMar>
            <w:top w:w="0" w:type="dxa"/>
            <w:left w:w="108" w:type="dxa"/>
            <w:bottom w:w="0" w:type="dxa"/>
            <w:right w:w="108" w:type="dxa"/>
          </w:tblCellMar>
        </w:tblPrEx>
        <w:trPr>
          <w:trHeight w:val="259"/>
          <w:jc w:val="center"/>
        </w:trPr>
        <w:tc>
          <w:tcPr>
            <w:tcW w:w="1764" w:type="pct"/>
            <w:tcBorders>
              <w:top w:val="nil"/>
              <w:left w:val="single" w:sz="8" w:space="0" w:color="auto"/>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机场</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机场</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大型场馆</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大型会展中心</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大型体育场馆</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noWrap/>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商务楼宇</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商务办公楼</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企业单位办公楼</w:t>
            </w:r>
          </w:p>
        </w:tc>
      </w:tr>
      <w:tr>
        <w:tblPrEx>
          <w:tblW w:w="3688" w:type="pct"/>
          <w:jc w:val="center"/>
          <w:tblCellMar>
            <w:top w:w="0" w:type="dxa"/>
            <w:left w:w="108" w:type="dxa"/>
            <w:bottom w:w="0" w:type="dxa"/>
            <w:right w:w="108" w:type="dxa"/>
          </w:tblCellMar>
        </w:tblPrEx>
        <w:trPr>
          <w:trHeight w:val="259"/>
          <w:jc w:val="center"/>
        </w:trPr>
        <w:tc>
          <w:tcPr>
            <w:tcW w:w="1764" w:type="pct"/>
            <w:tcBorders>
              <w:top w:val="nil"/>
              <w:left w:val="single" w:sz="8" w:space="0" w:color="auto"/>
              <w:bottom w:val="single" w:sz="8" w:space="0" w:color="000000"/>
              <w:right w:val="single" w:sz="8" w:space="0" w:color="auto"/>
            </w:tcBorders>
            <w:noWrap/>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党政机关</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党政机关</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noWrap/>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校园</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高校校园</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大中专院校</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nil"/>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中小学/幼儿园</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医院</w:t>
            </w:r>
          </w:p>
        </w:tc>
        <w:tc>
          <w:tcPr>
            <w:tcW w:w="3236" w:type="pct"/>
            <w:tcBorders>
              <w:top w:val="single" w:sz="8" w:space="0" w:color="auto"/>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三甲及以上医院</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三甲以下医院</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公共场所</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旅游景区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中小型会展中心</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中小型体育场馆</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文化/科技/艺术场馆</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宾馆酒店</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宾馆酒店</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招待所</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度假村/培训中心</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商场超市</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商业购物区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聚类市场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超市/卖场</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园区</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国家级工业园区/产业园区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省级工业园区/产业园区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地市级及以下工业园区/产业园区</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nil"/>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休闲场所</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休闲娱乐场所</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nil"/>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餐饮场所</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single" w:sz="8"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住宅小区</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封闭式住宅小区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single" w:sz="8"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开放式住宅社区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single" w:sz="8"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别墅区</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single" w:sz="8" w:space="0" w:color="auto"/>
              <w:left w:val="single" w:sz="8" w:space="0" w:color="auto"/>
              <w:bottom w:val="single" w:sz="8" w:space="0" w:color="000000"/>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自建住宅区/城中村</w:t>
            </w:r>
          </w:p>
        </w:tc>
      </w:tr>
      <w:tr>
        <w:tblPrEx>
          <w:tblW w:w="3688" w:type="pct"/>
          <w:jc w:val="center"/>
          <w:tblCellMar>
            <w:top w:w="0" w:type="dxa"/>
            <w:left w:w="108" w:type="dxa"/>
            <w:bottom w:w="0" w:type="dxa"/>
            <w:right w:w="108" w:type="dxa"/>
          </w:tblCellMar>
        </w:tblPrEx>
        <w:trPr>
          <w:trHeight w:val="259"/>
          <w:jc w:val="center"/>
        </w:trPr>
        <w:tc>
          <w:tcPr>
            <w:tcW w:w="1764" w:type="pct"/>
            <w:vMerge w:val="restart"/>
            <w:tcBorders>
              <w:top w:val="nil"/>
              <w:left w:val="single" w:sz="8" w:space="0" w:color="auto"/>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隧道</w:t>
            </w: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高铁隧道</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普铁隧道</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高速公路隧道</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普通公路隧道</w:t>
            </w:r>
          </w:p>
        </w:tc>
      </w:tr>
      <w:tr>
        <w:tblPrEx>
          <w:tblW w:w="3688" w:type="pct"/>
          <w:jc w:val="center"/>
          <w:tblCellMar>
            <w:top w:w="0" w:type="dxa"/>
            <w:left w:w="108" w:type="dxa"/>
            <w:bottom w:w="0" w:type="dxa"/>
            <w:right w:w="108" w:type="dxa"/>
          </w:tblCellMar>
        </w:tblPrEx>
        <w:trPr>
          <w:trHeight w:val="259"/>
          <w:jc w:val="center"/>
        </w:trPr>
        <w:tc>
          <w:tcPr>
            <w:tcW w:w="1764" w:type="pct"/>
            <w:vMerge/>
            <w:tcBorders>
              <w:top w:val="nil"/>
              <w:left w:val="single" w:sz="8" w:space="0" w:color="auto"/>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p>
        </w:tc>
        <w:tc>
          <w:tcPr>
            <w:tcW w:w="3236" w:type="pct"/>
            <w:tcBorders>
              <w:top w:val="nil"/>
              <w:left w:val="nil"/>
              <w:bottom w:val="single" w:sz="8" w:space="0" w:color="auto"/>
              <w:right w:val="single" w:sz="8" w:space="0" w:color="auto"/>
            </w:tcBorders>
            <w:vAlign w:val="center"/>
          </w:tcPr>
          <w:p>
            <w:pPr>
              <w:widowControl/>
              <w:spacing w:line="312" w:lineRule="auto"/>
              <w:jc w:val="center"/>
              <w:textAlignment w:val="center"/>
              <w:rPr>
                <w:rFonts w:ascii="宋体" w:eastAsia="宋体" w:hAnsi="宋体" w:cs="宋体"/>
                <w:kern w:val="0"/>
                <w:szCs w:val="21"/>
                <w:highlight w:val="none"/>
              </w:rPr>
            </w:pPr>
            <w:r>
              <w:rPr>
                <w:rFonts w:ascii="宋体" w:eastAsia="宋体" w:hAnsi="宋体" w:cs="宋体" w:hint="eastAsia"/>
                <w:kern w:val="0"/>
                <w:szCs w:val="21"/>
                <w:highlight w:val="none"/>
              </w:rPr>
              <w:t>其它隧道（城市地下隧道、人行隧道等）</w:t>
            </w:r>
          </w:p>
        </w:tc>
      </w:tr>
    </w:tbl>
    <w:p>
      <w:pPr>
        <w:pStyle w:val="Heading3"/>
        <w:spacing w:line="360" w:lineRule="auto"/>
        <w:ind w:firstLine="420" w:firstLineChars="200"/>
        <w:rPr>
          <w:rFonts w:ascii="宋体" w:eastAsia="宋体" w:hAnsi="宋体" w:cs="宋体"/>
          <w:sz w:val="28"/>
          <w:szCs w:val="28"/>
          <w:highlight w:val="none"/>
        </w:rPr>
      </w:pPr>
      <w:bookmarkStart w:id="86" w:name="_Toc7831"/>
      <w:bookmarkStart w:id="87" w:name="_Toc41931663"/>
      <w:r>
        <w:rPr>
          <w:rFonts w:ascii="宋体" w:eastAsia="宋体" w:hAnsi="宋体" w:cs="宋体" w:hint="eastAsia"/>
          <w:sz w:val="28"/>
          <w:szCs w:val="28"/>
          <w:highlight w:val="none"/>
        </w:rPr>
        <w:t>二、5G室内分布基站分规划方案</w:t>
      </w:r>
      <w:bookmarkEnd w:id="86"/>
      <w:bookmarkEnd w:id="87"/>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根据各电信企业自身现网情况结合未来业务发展趋势，规划5G室内分布基站（物业点）1409个，其中交通枢纽16个，机场3个，大型场馆4个，商务楼宇152个，党政机关55个，校园31个，医院18个，公共场所61个，宾馆酒店180个，商场超市54个，园区15个，休闲场所6个，住宅小区814个。各城区规划情况如下表：</w:t>
      </w:r>
    </w:p>
    <w:p>
      <w:pPr>
        <w:spacing w:line="360" w:lineRule="auto"/>
        <w:jc w:val="center"/>
        <w:rPr>
          <w:rFonts w:ascii="宋体" w:eastAsia="宋体" w:hAnsi="宋体" w:cs="宋体"/>
          <w:b/>
          <w:bCs/>
          <w:kern w:val="0"/>
          <w:szCs w:val="21"/>
          <w:highlight w:val="none"/>
        </w:rPr>
      </w:pPr>
    </w:p>
    <w:p>
      <w:pPr>
        <w:spacing w:line="360" w:lineRule="auto"/>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表7-2 电信企业5G室内分布基站需求表</w:t>
      </w:r>
    </w:p>
    <w:tbl>
      <w:tblPr>
        <w:tblStyle w:val="TableNormal"/>
        <w:tblW w:w="50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115"/>
        <w:gridCol w:w="629"/>
        <w:gridCol w:w="536"/>
        <w:gridCol w:w="628"/>
        <w:gridCol w:w="628"/>
        <w:gridCol w:w="628"/>
        <w:gridCol w:w="535"/>
        <w:gridCol w:w="537"/>
        <w:gridCol w:w="628"/>
        <w:gridCol w:w="628"/>
        <w:gridCol w:w="628"/>
        <w:gridCol w:w="535"/>
        <w:gridCol w:w="628"/>
        <w:gridCol w:w="628"/>
        <w:gridCol w:w="535"/>
        <w:gridCol w:w="652"/>
      </w:tblGrid>
      <w:tr>
        <w:tblPrEx>
          <w:tblW w:w="50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Ex>
        <w:trPr>
          <w:trHeight w:val="575"/>
          <w:tblHeader/>
          <w:jc w:val="center"/>
        </w:trPr>
        <w:tc>
          <w:tcPr>
            <w:tcW w:w="552"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区县</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交通枢纽</w:t>
            </w:r>
          </w:p>
        </w:tc>
        <w:tc>
          <w:tcPr>
            <w:tcW w:w="265" w:type="pct"/>
            <w:tcBorders>
              <w:top w:val="single" w:sz="4" w:space="0" w:color="auto"/>
              <w:left w:val="single" w:sz="4" w:space="0" w:color="auto"/>
              <w:bottom w:val="single" w:sz="4" w:space="0" w:color="auto"/>
              <w:right w:val="single" w:sz="4" w:space="0" w:color="auto"/>
            </w:tcBorders>
            <w:noWrap/>
            <w:vAlign w:val="center"/>
          </w:tcPr>
          <w:p>
            <w:pPr>
              <w:jc w:val="center"/>
              <w:rPr>
                <w:rFonts w:ascii="Calibri" w:eastAsia="宋体" w:hAnsi="Calibri" w:cs="Times New Roman"/>
                <w:b/>
                <w:bCs/>
                <w:szCs w:val="21"/>
                <w:highlight w:val="none"/>
              </w:rPr>
            </w:pPr>
            <w:r>
              <w:rPr>
                <w:rFonts w:ascii="Calibri" w:eastAsia="宋体" w:hAnsi="Calibri" w:cs="Times New Roman" w:hint="eastAsia"/>
                <w:b/>
                <w:bCs/>
                <w:szCs w:val="21"/>
                <w:highlight w:val="none"/>
              </w:rPr>
              <w:t>机场</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大型场馆</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商务楼宇</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党政机关</w:t>
            </w:r>
          </w:p>
        </w:tc>
        <w:tc>
          <w:tcPr>
            <w:tcW w:w="265"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校园</w:t>
            </w:r>
          </w:p>
        </w:tc>
        <w:tc>
          <w:tcPr>
            <w:tcW w:w="266"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医院</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公共场所</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宾馆酒店</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商场超市</w:t>
            </w:r>
          </w:p>
        </w:tc>
        <w:tc>
          <w:tcPr>
            <w:tcW w:w="265"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园区</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休闲场所</w:t>
            </w:r>
          </w:p>
        </w:tc>
        <w:tc>
          <w:tcPr>
            <w:tcW w:w="311"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住宅小区</w:t>
            </w:r>
          </w:p>
        </w:tc>
        <w:tc>
          <w:tcPr>
            <w:tcW w:w="265" w:type="pc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隧道</w:t>
            </w:r>
          </w:p>
        </w:tc>
        <w:tc>
          <w:tcPr>
            <w:tcW w:w="323" w:type="pct"/>
            <w:tcBorders>
              <w:top w:val="single" w:sz="4" w:space="0" w:color="auto"/>
              <w:left w:val="single" w:sz="4" w:space="0" w:color="auto"/>
              <w:bottom w:val="single" w:sz="4" w:space="0" w:color="auto"/>
              <w:right w:val="single" w:sz="4" w:space="0" w:color="auto"/>
            </w:tcBorders>
            <w:vAlign w:val="center"/>
          </w:tcPr>
          <w:p>
            <w:pPr>
              <w:jc w:val="center"/>
              <w:rPr>
                <w:rFonts w:ascii="宋体" w:eastAsia="宋体" w:hAnsi="宋体" w:cs="宋体"/>
                <w:b/>
                <w:bCs/>
                <w:szCs w:val="21"/>
                <w:highlight w:val="none"/>
              </w:rPr>
            </w:pPr>
            <w:r>
              <w:rPr>
                <w:rFonts w:ascii="Calibri" w:eastAsia="宋体" w:hAnsi="Calibri" w:cs="Times New Roman" w:hint="eastAsia"/>
                <w:b/>
                <w:bCs/>
                <w:szCs w:val="21"/>
                <w:highlight w:val="none"/>
              </w:rPr>
              <w:t>合计</w:t>
            </w:r>
          </w:p>
        </w:tc>
      </w:tr>
      <w:tr>
        <w:tblPrEx>
          <w:tblW w:w="5030" w:type="pct"/>
          <w:jc w:val="center"/>
          <w:tblLayout w:type="fixed"/>
          <w:tblCellMar>
            <w:top w:w="0" w:type="dxa"/>
            <w:left w:w="108" w:type="dxa"/>
            <w:bottom w:w="0" w:type="dxa"/>
            <w:right w:w="108" w:type="dxa"/>
          </w:tblCellMar>
        </w:tblPrEx>
        <w:trPr>
          <w:trHeight w:val="283"/>
          <w:jc w:val="center"/>
        </w:trPr>
        <w:tc>
          <w:tcPr>
            <w:tcW w:w="552"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1</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2</w:t>
            </w:r>
          </w:p>
        </w:tc>
        <w:tc>
          <w:tcPr>
            <w:tcW w:w="266"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6</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r>
              <w:rPr>
                <w:rFonts w:ascii="宋体" w:eastAsia="宋体" w:hAnsi="宋体" w:cs="宋体"/>
                <w:kern w:val="0"/>
                <w:szCs w:val="21"/>
                <w:highlight w:val="none"/>
              </w:rPr>
              <w:t>2</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r>
              <w:rPr>
                <w:rFonts w:ascii="宋体" w:eastAsia="宋体" w:hAnsi="宋体" w:cs="宋体"/>
                <w:kern w:val="0"/>
                <w:szCs w:val="21"/>
                <w:highlight w:val="none"/>
              </w:rPr>
              <w:t>59</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23" w:type="pct"/>
            <w:tcBorders>
              <w:top w:val="single" w:sz="4" w:space="0" w:color="auto"/>
              <w:left w:val="single" w:sz="4" w:space="0" w:color="auto"/>
              <w:bottom w:val="single" w:sz="4" w:space="0" w:color="auto"/>
              <w:right w:val="single" w:sz="4" w:space="0" w:color="auto"/>
            </w:tcBorders>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r>
              <w:rPr>
                <w:rFonts w:ascii="宋体" w:eastAsia="宋体" w:hAnsi="宋体" w:cs="宋体"/>
                <w:kern w:val="0"/>
                <w:szCs w:val="21"/>
                <w:highlight w:val="none"/>
              </w:rPr>
              <w:t>54</w:t>
            </w:r>
          </w:p>
        </w:tc>
      </w:tr>
      <w:tr>
        <w:tblPrEx>
          <w:tblW w:w="5030" w:type="pct"/>
          <w:jc w:val="center"/>
          <w:tblLayout w:type="fixed"/>
          <w:tblCellMar>
            <w:top w:w="0" w:type="dxa"/>
            <w:left w:w="108" w:type="dxa"/>
            <w:bottom w:w="0" w:type="dxa"/>
            <w:right w:w="108" w:type="dxa"/>
          </w:tblCellMar>
        </w:tblPrEx>
        <w:trPr>
          <w:trHeight w:val="283"/>
          <w:jc w:val="center"/>
        </w:trPr>
        <w:tc>
          <w:tcPr>
            <w:tcW w:w="552"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2</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33</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r>
              <w:rPr>
                <w:rFonts w:ascii="宋体" w:eastAsia="宋体" w:hAnsi="宋体" w:cs="宋体"/>
                <w:kern w:val="0"/>
                <w:szCs w:val="21"/>
                <w:highlight w:val="none"/>
              </w:rPr>
              <w:t>5</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8</w:t>
            </w:r>
          </w:p>
        </w:tc>
        <w:tc>
          <w:tcPr>
            <w:tcW w:w="266"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3</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r>
              <w:rPr>
                <w:rFonts w:ascii="宋体" w:eastAsia="宋体" w:hAnsi="宋体" w:cs="宋体"/>
                <w:kern w:val="0"/>
                <w:szCs w:val="21"/>
                <w:highlight w:val="none"/>
              </w:rPr>
              <w:t>5</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33</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r>
              <w:rPr>
                <w:rFonts w:ascii="宋体" w:eastAsia="宋体" w:hAnsi="宋体" w:cs="宋体"/>
                <w:kern w:val="0"/>
                <w:szCs w:val="21"/>
                <w:highlight w:val="none"/>
              </w:rPr>
              <w:t>5</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6</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r>
              <w:rPr>
                <w:rFonts w:ascii="宋体" w:eastAsia="宋体" w:hAnsi="宋体" w:cs="宋体"/>
                <w:kern w:val="0"/>
                <w:szCs w:val="21"/>
                <w:highlight w:val="none"/>
              </w:rPr>
              <w:t>36</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23" w:type="pct"/>
            <w:tcBorders>
              <w:top w:val="single" w:sz="4" w:space="0" w:color="auto"/>
              <w:left w:val="single" w:sz="4" w:space="0" w:color="auto"/>
              <w:bottom w:val="single" w:sz="4" w:space="0" w:color="auto"/>
              <w:right w:val="single" w:sz="4" w:space="0" w:color="auto"/>
            </w:tcBorders>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006</w:t>
            </w:r>
          </w:p>
        </w:tc>
      </w:tr>
      <w:tr>
        <w:tblPrEx>
          <w:tblW w:w="5030" w:type="pct"/>
          <w:jc w:val="center"/>
          <w:tblLayout w:type="fixed"/>
          <w:tblCellMar>
            <w:top w:w="0" w:type="dxa"/>
            <w:left w:w="108" w:type="dxa"/>
            <w:bottom w:w="0" w:type="dxa"/>
            <w:right w:w="108" w:type="dxa"/>
          </w:tblCellMar>
        </w:tblPrEx>
        <w:trPr>
          <w:trHeight w:val="283"/>
          <w:jc w:val="center"/>
        </w:trPr>
        <w:tc>
          <w:tcPr>
            <w:tcW w:w="552"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6</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p>
        </w:tc>
        <w:tc>
          <w:tcPr>
            <w:tcW w:w="266"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9</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23" w:type="pct"/>
            <w:tcBorders>
              <w:top w:val="single" w:sz="4" w:space="0" w:color="auto"/>
              <w:left w:val="single" w:sz="4" w:space="0" w:color="auto"/>
              <w:bottom w:val="single" w:sz="4" w:space="0" w:color="auto"/>
              <w:right w:val="single" w:sz="4" w:space="0" w:color="auto"/>
            </w:tcBorders>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r>
              <w:rPr>
                <w:rFonts w:ascii="宋体" w:eastAsia="宋体" w:hAnsi="宋体" w:cs="宋体"/>
                <w:kern w:val="0"/>
                <w:szCs w:val="21"/>
                <w:highlight w:val="none"/>
              </w:rPr>
              <w:t>9</w:t>
            </w:r>
          </w:p>
        </w:tc>
      </w:tr>
      <w:tr>
        <w:tblPrEx>
          <w:tblW w:w="5030" w:type="pct"/>
          <w:jc w:val="center"/>
          <w:tblLayout w:type="fixed"/>
          <w:tblCellMar>
            <w:top w:w="0" w:type="dxa"/>
            <w:left w:w="108" w:type="dxa"/>
            <w:bottom w:w="0" w:type="dxa"/>
            <w:right w:w="108" w:type="dxa"/>
          </w:tblCellMar>
        </w:tblPrEx>
        <w:trPr>
          <w:trHeight w:val="283"/>
          <w:jc w:val="center"/>
        </w:trPr>
        <w:tc>
          <w:tcPr>
            <w:tcW w:w="552"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合计</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6</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52</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r>
              <w:rPr>
                <w:rFonts w:ascii="宋体" w:eastAsia="宋体" w:hAnsi="宋体" w:cs="宋体"/>
                <w:kern w:val="0"/>
                <w:szCs w:val="21"/>
                <w:highlight w:val="none"/>
              </w:rPr>
              <w:t>5</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r>
              <w:rPr>
                <w:rFonts w:ascii="宋体" w:eastAsia="宋体" w:hAnsi="宋体" w:cs="宋体"/>
                <w:kern w:val="0"/>
                <w:szCs w:val="21"/>
                <w:highlight w:val="none"/>
              </w:rPr>
              <w:t>1</w:t>
            </w:r>
          </w:p>
        </w:tc>
        <w:tc>
          <w:tcPr>
            <w:tcW w:w="266"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8</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6</w:t>
            </w:r>
            <w:r>
              <w:rPr>
                <w:rFonts w:ascii="宋体" w:eastAsia="宋体" w:hAnsi="宋体" w:cs="宋体"/>
                <w:kern w:val="0"/>
                <w:szCs w:val="21"/>
                <w:highlight w:val="none"/>
              </w:rPr>
              <w:t>1</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80</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r>
              <w:rPr>
                <w:rFonts w:ascii="宋体" w:eastAsia="宋体" w:hAnsi="宋体" w:cs="宋体"/>
                <w:kern w:val="0"/>
                <w:szCs w:val="21"/>
                <w:highlight w:val="none"/>
              </w:rPr>
              <w:t>4</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5</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6</w:t>
            </w:r>
          </w:p>
        </w:tc>
        <w:tc>
          <w:tcPr>
            <w:tcW w:w="311"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w:t>
            </w:r>
            <w:r>
              <w:rPr>
                <w:rFonts w:ascii="宋体" w:eastAsia="宋体" w:hAnsi="宋体" w:cs="宋体"/>
                <w:kern w:val="0"/>
                <w:szCs w:val="21"/>
                <w:highlight w:val="none"/>
              </w:rPr>
              <w:t>14</w:t>
            </w:r>
          </w:p>
        </w:tc>
        <w:tc>
          <w:tcPr>
            <w:tcW w:w="265" w:type="pct"/>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323" w:type="pct"/>
            <w:tcBorders>
              <w:top w:val="single" w:sz="4" w:space="0" w:color="auto"/>
              <w:left w:val="single" w:sz="4" w:space="0" w:color="auto"/>
              <w:bottom w:val="single" w:sz="4" w:space="0" w:color="auto"/>
              <w:right w:val="single" w:sz="4" w:space="0" w:color="auto"/>
            </w:tcBorders>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w:t>
            </w:r>
            <w:r>
              <w:rPr>
                <w:rFonts w:ascii="宋体" w:eastAsia="宋体" w:hAnsi="宋体" w:cs="宋体"/>
                <w:b/>
                <w:bCs/>
                <w:kern w:val="0"/>
                <w:szCs w:val="21"/>
                <w:highlight w:val="none"/>
              </w:rPr>
              <w:t>409</w:t>
            </w:r>
          </w:p>
        </w:tc>
      </w:tr>
    </w:tbl>
    <w:p>
      <w:pPr>
        <w:pStyle w:val="Heading2"/>
        <w:keepNext/>
        <w:keepLines/>
        <w:spacing w:line="360" w:lineRule="auto"/>
        <w:ind w:left="0" w:firstLine="420" w:firstLineChars="200"/>
        <w:rPr>
          <w:rFonts w:ascii="宋体" w:eastAsia="宋体" w:hAnsi="宋体" w:cs="宋体"/>
          <w:sz w:val="32"/>
          <w:szCs w:val="32"/>
          <w:highlight w:val="none"/>
        </w:rPr>
      </w:pPr>
      <w:bookmarkStart w:id="88" w:name="_Toc18166"/>
      <w:r>
        <w:rPr>
          <w:rFonts w:ascii="宋体" w:eastAsia="宋体" w:hAnsi="宋体" w:cs="宋体" w:hint="eastAsia"/>
          <w:sz w:val="32"/>
          <w:szCs w:val="32"/>
          <w:highlight w:val="none"/>
        </w:rPr>
        <w:t>第八章 重点机房基础设施规划</w:t>
      </w:r>
      <w:bookmarkEnd w:id="88"/>
    </w:p>
    <w:p>
      <w:pPr>
        <w:pStyle w:val="Heading3"/>
        <w:spacing w:line="360" w:lineRule="auto"/>
        <w:ind w:firstLine="420" w:firstLineChars="200"/>
        <w:rPr>
          <w:rFonts w:ascii="宋体" w:eastAsia="宋体" w:hAnsi="宋体" w:cs="宋体"/>
          <w:sz w:val="28"/>
          <w:szCs w:val="28"/>
          <w:highlight w:val="none"/>
        </w:rPr>
      </w:pPr>
      <w:bookmarkStart w:id="89" w:name="_Toc18853"/>
      <w:r>
        <w:rPr>
          <w:rFonts w:ascii="宋体" w:eastAsia="宋体" w:hAnsi="宋体" w:cs="宋体" w:hint="eastAsia"/>
          <w:sz w:val="28"/>
          <w:szCs w:val="28"/>
          <w:highlight w:val="none"/>
        </w:rPr>
        <w:t>一、重点机房规划原则</w:t>
      </w:r>
      <w:bookmarkEnd w:id="89"/>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（一）需求类型</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重点机房应形成分层分级，覆盖全网络的机房布局。重点机房规划根据发展需求从以下几个方面考虑。</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1、骨干网络节点机房（一类）：主要布置核心网设备、多媒体网关以及数据中心等核心设备，面积不宜小于500平方米，骨干网络节点机房面积应根据实际情况确定。</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传输节点机房（二类）：结合传输网络架构考虑机房需求，主要实现本地网的传输收敛，包括光传输综合接入机房、汇聚机房、光缆干线机房等，面积不宜小于80平方米，传输节点机房面积应根据实际情况确定。</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综合接入机房（三类）：为提供CU/DU等设备的集中部署，统一供电、统一传输接入的节点，是综合方案的核心节点，是区域网络覆盖信息流和能源流的汇集中心。在考虑满足无线网设备部署的同时，借助机房的传输节点、不间断电源、全天候运维保障条件下，考虑全业务网络接入需求的部署，例如小区家庭宽带OLT、专线节点、边缘计算设备需求等。综合接入机房面积应不小于80平方米。</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无线网C-RAN机房（四类）：随着后期5G网络覆盖需求，城区站址密度大幅度增加，无线基站在局部区域出现塔、房分离的趋势，无线基站设备出现集中放置、集中供备电、集中传输的需求，5G网络呈现为BBU池需求，此外边缘计算设备需求也将逐渐出现。无线网C-RAN机房面积应不小于40平方米。</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（注：本规划各类机房面积大小最终以各运营商统计的实际需求结合落地实施方案面积为准。）</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（二）规划原则</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重点机房应重点考虑物业点稳定性、传输管道和光缆资源、外市电、机房空间及承重、电源容量及备电等因素，不同等级的重点机房根据业务需要确定具体标准和预留。</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1、机房位置</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重点机房应根据城市通信网络发展目标，考虑多业务的统一承载要求进行布局，结合地理位置，在业务需求多、发展快的重点区域选取，并尽量位于其覆盖范围的中心区域，便于各类业务的接入。</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重点机房应设置在地势较高、不易被水淹没、不易渗水的地方；机房周边应有较安全的外部环境和较好的电磁环境。</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2、物业点稳定性</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重点机房可采用“建、购、租相结合”的原则进行建设，对于新开发区域，则应根据市政规划用地性质，提前预留重点机房用地，或者在新建商业楼宇或市政设施中预留机房位置。纳入城乡规划，进行资源储备。</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城市建成区，重点机房可考虑设置于公园、绿化带、广场等市政设施区域，便于资源的批量获取，降低协调成本和建设成本。租用重点机房应考虑物业单位稳定性，确保机房的长期可用，避免机房纠纷、搬迁等。</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3、传输管道和光缆资源</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重点机房宜选择在交通较为方便的城市干道交汇区域，机房附近应有基础电信企业管道或光缆资源，便于基础电信企业光缆接入机房，以便于传输网络的组织。</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4、外市电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一般设备较多，保障要求较高，断电影响网络范围较大，因此对外市电要求较高，重点考虑外电引入条件是否能满足机房的需求，优先选择直供电。对于等级较高的机房，可根据基础电信企业需求考虑引入双路电形成一主一备。容量方面根据业务需求进行核算，并预留业务扩展的需要。</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5、机房空间及承重</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重点机房设备主要包括无线设备、传输设备、边缘计算服务器等主设备，以及配线架、配电柜、后备电源、制冷机等配套设备，根据设备部署需要进行相应的机房空间和承重核算，并预留足够的机架扩展的空间需求。</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6、电源容量及备电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根据设备部署需要进行相应电源容量及备电电池组容量的核算，并预留足够的业务扩展需要。</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7、集中供电、集中放置、集中管理</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随着基站小型化，密集化，多样化的转变，为周边站点、基站群、提供传输汇聚，集中放置、集中供电等服务是5G发展的必然方向，利用削峰填谷、光伏供电、锂电储能等方式在合适的基站建设“能源池”（母站），与周边基站（子站）组合成微电网。通过直流和交流的方式，“能源池”对微电网内所有基站进行不间断供电。实施后，可取消子站的电源柜、空调、电池等设备的配置，节约投资；可实现集中供电 、集中管理 、集中维护。</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8、重点整合方案</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不同电信企业提出的同种类型重点机房新建需求，应根据各个电信企业需求位置点的间距、周围环境、场地地势、供配电、管道及光缆资源等条件，将经方案对比后适宜集中建设的同类型重点机房需求进行整合，尽可能减少资源浪费，提升投资效益。</w:t>
      </w:r>
    </w:p>
    <w:p>
      <w:pPr>
        <w:spacing w:line="360" w:lineRule="auto"/>
        <w:ind w:firstLine="420" w:firstLineChars="200"/>
        <w:jc w:val="center"/>
        <w:rPr>
          <w:rFonts w:ascii="宋体" w:eastAsia="宋体" w:hAnsi="宋体" w:cs="宋体"/>
          <w:sz w:val="24"/>
          <w:szCs w:val="24"/>
          <w:highlight w:val="none"/>
        </w:rPr>
      </w:pPr>
      <w:r>
        <w:rPr>
          <w:rFonts w:ascii="宋体" w:eastAsia="宋体" w:hAnsi="宋体" w:cs="宋体" w:hint="eastAsia"/>
          <w:sz w:val="24"/>
          <w:szCs w:val="24"/>
          <w:highlight w:val="none"/>
        </w:rPr>
        <w:drawing>
          <wp:inline distT="0" distB="0" distL="114300" distR="114300">
            <wp:extent cx="5269230" cy="2820670"/>
            <wp:effectExtent l="0" t="0" r="7620" b="177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a:xfrm>
                      <a:off x="0" y="0"/>
                      <a:ext cx="5269230" cy="2820670"/>
                    </a:xfrm>
                    <a:prstGeom prst="rect">
                      <a:avLst/>
                    </a:prstGeom>
                    <a:noFill/>
                    <a:ln>
                      <a:noFill/>
                    </a:ln>
                  </pic:spPr>
                </pic:pic>
              </a:graphicData>
            </a:graphic>
          </wp:inline>
        </w:drawing>
      </w:r>
    </w:p>
    <w:p>
      <w:pPr>
        <w:pStyle w:val="Heading3"/>
        <w:numPr>
          <w:ilvl w:val="0"/>
          <w:numId w:val="19"/>
        </w:numPr>
        <w:spacing w:line="360" w:lineRule="auto"/>
        <w:ind w:firstLine="420" w:firstLineChars="200"/>
        <w:rPr>
          <w:rFonts w:ascii="宋体" w:eastAsia="宋体" w:hAnsi="宋体" w:cs="宋体"/>
          <w:sz w:val="28"/>
          <w:szCs w:val="28"/>
          <w:highlight w:val="none"/>
        </w:rPr>
      </w:pPr>
      <w:bookmarkStart w:id="90" w:name="_Toc22947"/>
      <w:r>
        <w:rPr>
          <w:rFonts w:ascii="宋体" w:eastAsia="宋体" w:hAnsi="宋体" w:cs="宋体" w:hint="eastAsia"/>
          <w:sz w:val="28"/>
          <w:szCs w:val="28"/>
          <w:highlight w:val="none"/>
        </w:rPr>
        <w:t>重点机房规划方案</w:t>
      </w:r>
      <w:bookmarkEnd w:id="90"/>
    </w:p>
    <w:p>
      <w:pPr>
        <w:spacing w:line="360" w:lineRule="auto"/>
        <w:ind w:firstLine="420" w:firstLineChars="200"/>
        <w:rPr>
          <w:rFonts w:ascii="宋体" w:eastAsia="宋体" w:hAnsi="宋体" w:cs="宋体"/>
          <w:highlight w:val="none"/>
        </w:rPr>
      </w:pPr>
      <w:r>
        <w:rPr>
          <w:rFonts w:ascii="宋体" w:eastAsia="宋体" w:hAnsi="宋体" w:cs="宋体" w:hint="eastAsia"/>
          <w:sz w:val="24"/>
          <w:szCs w:val="24"/>
          <w:highlight w:val="none"/>
        </w:rPr>
        <w:t>根据规划原则，规划建设二类重点机房规划建设6个，三类重点机房规划建设34个，四类重点机房规划建设76个，合计规划建设116个。</w:t>
      </w:r>
    </w:p>
    <w:p>
      <w:pPr>
        <w:tabs>
          <w:tab w:val="left" w:pos="720"/>
        </w:tabs>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建设方式主要有2种:1.购置商铺、购买土地自建；2.市政公用设施用地（优先选用购置商铺、购买土地自建，使用市政公用设施用地，需按程序办理用地和规划手续）。</w:t>
      </w:r>
    </w:p>
    <w:p>
      <w:pPr>
        <w:tabs>
          <w:tab w:val="left" w:pos="720"/>
        </w:tabs>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注：市政公用设施用地均可按相关主管部门要求由运营商出资，结合市政设施（如公厕等）进行建设， 满足集约用地且美化市容市貌的要求。</w:t>
      </w:r>
    </w:p>
    <w:p>
      <w:pPr>
        <w:spacing w:line="360" w:lineRule="auto"/>
        <w:ind w:firstLine="420" w:firstLineChars="200"/>
        <w:jc w:val="center"/>
        <w:rPr>
          <w:rFonts w:ascii="宋体" w:eastAsia="宋体" w:hAnsi="宋体" w:cs="宋体"/>
          <w:b/>
          <w:bCs/>
          <w:szCs w:val="18"/>
          <w:highlight w:val="none"/>
        </w:rPr>
      </w:pPr>
      <w:r>
        <w:rPr>
          <w:rFonts w:ascii="宋体" w:eastAsia="宋体" w:hAnsi="宋体" w:cs="宋体" w:hint="eastAsia"/>
          <w:b/>
          <w:bCs/>
          <w:szCs w:val="18"/>
          <w:highlight w:val="none"/>
        </w:rPr>
        <w:t>表8-1 电信企业重点机房需求表</w:t>
      </w:r>
    </w:p>
    <w:tbl>
      <w:tblPr>
        <w:tblStyle w:val="TableNormal"/>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blGrid>
        <w:gridCol w:w="1056"/>
        <w:gridCol w:w="849"/>
        <w:gridCol w:w="850"/>
        <w:gridCol w:w="849"/>
        <w:gridCol w:w="850"/>
        <w:gridCol w:w="849"/>
        <w:gridCol w:w="850"/>
        <w:gridCol w:w="849"/>
        <w:gridCol w:w="850"/>
      </w:tblGrid>
      <w:tr>
        <w:tblPrEx>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Ex>
        <w:trPr>
          <w:trHeight w:val="461"/>
          <w:tblHeader/>
          <w:jc w:val="center"/>
        </w:trPr>
        <w:tc>
          <w:tcPr>
            <w:tcW w:w="0" w:type="auto"/>
            <w:vMerge w:val="restart"/>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区县</w:t>
            </w:r>
          </w:p>
        </w:tc>
        <w:tc>
          <w:tcPr>
            <w:tcW w:w="0" w:type="auto"/>
            <w:gridSpan w:val="2"/>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一类重点机房数</w:t>
            </w:r>
          </w:p>
        </w:tc>
        <w:tc>
          <w:tcPr>
            <w:tcW w:w="0" w:type="auto"/>
            <w:gridSpan w:val="2"/>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二类重点机房数</w:t>
            </w:r>
          </w:p>
        </w:tc>
        <w:tc>
          <w:tcPr>
            <w:tcW w:w="0" w:type="auto"/>
            <w:gridSpan w:val="2"/>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三类重点机房数</w:t>
            </w:r>
          </w:p>
        </w:tc>
        <w:tc>
          <w:tcPr>
            <w:tcW w:w="0" w:type="auto"/>
            <w:gridSpan w:val="2"/>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四类重点机房数</w:t>
            </w:r>
          </w:p>
        </w:tc>
      </w:tr>
      <w:tr>
        <w:tblPrEx>
          <w:tblW w:w="0" w:type="auto"/>
          <w:jc w:val="center"/>
          <w:tblCellMar>
            <w:top w:w="0" w:type="dxa"/>
            <w:left w:w="108" w:type="dxa"/>
            <w:bottom w:w="0" w:type="dxa"/>
            <w:right w:w="108" w:type="dxa"/>
          </w:tblCellMar>
        </w:tblPrEx>
        <w:trPr>
          <w:trHeight w:val="722"/>
          <w:tblHeader/>
          <w:jc w:val="center"/>
        </w:trPr>
        <w:tc>
          <w:tcPr>
            <w:tcW w:w="0" w:type="auto"/>
            <w:vMerge/>
            <w:vAlign w:val="center"/>
          </w:tcPr>
          <w:p>
            <w:pPr>
              <w:widowControl/>
              <w:jc w:val="left"/>
              <w:rPr>
                <w:rFonts w:ascii="宋体" w:eastAsia="宋体" w:hAnsi="宋体" w:cs="宋体"/>
                <w:b/>
                <w:bCs/>
                <w:kern w:val="0"/>
                <w:szCs w:val="21"/>
                <w:highlight w:val="none"/>
              </w:rPr>
            </w:pP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数量</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（个）</w:t>
            </w: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面积</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（m²）</w:t>
            </w: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数量</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（个）</w:t>
            </w: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面积</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（m²）</w:t>
            </w: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数量</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（个）</w:t>
            </w: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面积</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（m²）</w:t>
            </w: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数量</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（个）</w:t>
            </w:r>
          </w:p>
        </w:tc>
        <w:tc>
          <w:tcPr>
            <w:tcW w:w="0" w:type="auto"/>
            <w:shd w:val="clear" w:color="auto" w:fill="auto"/>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面积</w:t>
            </w:r>
          </w:p>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（m²）</w:t>
            </w:r>
          </w:p>
        </w:tc>
      </w:tr>
      <w:tr>
        <w:tblPrEx>
          <w:tblW w:w="0" w:type="auto"/>
          <w:jc w:val="center"/>
          <w:tblCellMar>
            <w:top w:w="0" w:type="dxa"/>
            <w:left w:w="108" w:type="dxa"/>
            <w:bottom w:w="0" w:type="dxa"/>
            <w:right w:w="108" w:type="dxa"/>
          </w:tblCellMar>
        </w:tblPrEx>
        <w:trPr>
          <w:trHeight w:val="270"/>
          <w:jc w:val="center"/>
        </w:trPr>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kern w:val="0"/>
                <w:szCs w:val="21"/>
                <w:highlight w:val="none"/>
              </w:rPr>
              <w:t>1</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kern w:val="0"/>
                <w:szCs w:val="21"/>
                <w:highlight w:val="none"/>
              </w:rPr>
              <w:t>300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2</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190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4</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9</w:t>
            </w:r>
            <w:r>
              <w:rPr>
                <w:rFonts w:ascii="宋体" w:eastAsia="宋体" w:hAnsi="宋体" w:cs="宋体"/>
                <w:kern w:val="0"/>
                <w:szCs w:val="21"/>
                <w:highlight w:val="none"/>
              </w:rPr>
              <w:t>00</w:t>
            </w:r>
          </w:p>
        </w:tc>
      </w:tr>
      <w:tr>
        <w:tblPrEx>
          <w:tblW w:w="0" w:type="auto"/>
          <w:jc w:val="center"/>
          <w:tblCellMar>
            <w:top w:w="0" w:type="dxa"/>
            <w:left w:w="108" w:type="dxa"/>
            <w:bottom w:w="0" w:type="dxa"/>
            <w:right w:w="108" w:type="dxa"/>
          </w:tblCellMar>
        </w:tblPrEx>
        <w:trPr>
          <w:trHeight w:val="270"/>
          <w:jc w:val="center"/>
        </w:trPr>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100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9</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r>
              <w:rPr>
                <w:rFonts w:ascii="宋体" w:eastAsia="宋体" w:hAnsi="宋体" w:cs="宋体"/>
                <w:kern w:val="0"/>
                <w:szCs w:val="21"/>
                <w:highlight w:val="none"/>
              </w:rPr>
              <w:t>110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r>
              <w:rPr>
                <w:rFonts w:ascii="宋体" w:eastAsia="宋体" w:hAnsi="宋体" w:cs="宋体"/>
                <w:kern w:val="0"/>
                <w:szCs w:val="21"/>
                <w:highlight w:val="none"/>
              </w:rPr>
              <w:t>7</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r>
              <w:rPr>
                <w:rFonts w:ascii="宋体" w:eastAsia="宋体" w:hAnsi="宋体" w:cs="宋体"/>
                <w:kern w:val="0"/>
                <w:szCs w:val="21"/>
                <w:highlight w:val="none"/>
              </w:rPr>
              <w:t>140</w:t>
            </w:r>
          </w:p>
        </w:tc>
      </w:tr>
      <w:tr>
        <w:tblPrEx>
          <w:tblW w:w="0" w:type="auto"/>
          <w:jc w:val="center"/>
          <w:tblCellMar>
            <w:top w:w="0" w:type="dxa"/>
            <w:left w:w="108" w:type="dxa"/>
            <w:bottom w:w="0" w:type="dxa"/>
            <w:right w:w="108" w:type="dxa"/>
          </w:tblCellMar>
        </w:tblPrEx>
        <w:trPr>
          <w:trHeight w:val="270"/>
          <w:jc w:val="center"/>
        </w:trPr>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r>
              <w:rPr>
                <w:rFonts w:ascii="宋体" w:eastAsia="宋体" w:hAnsi="宋体" w:cs="宋体"/>
                <w:kern w:val="0"/>
                <w:szCs w:val="21"/>
                <w:highlight w:val="none"/>
              </w:rPr>
              <w:t>90</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p>
        </w:tc>
        <w:tc>
          <w:tcPr>
            <w:tcW w:w="0" w:type="auto"/>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3</w:t>
            </w:r>
            <w:r>
              <w:rPr>
                <w:rFonts w:ascii="宋体" w:eastAsia="宋体" w:hAnsi="宋体" w:cs="宋体"/>
                <w:kern w:val="0"/>
                <w:szCs w:val="21"/>
                <w:highlight w:val="none"/>
              </w:rPr>
              <w:t>80</w:t>
            </w:r>
          </w:p>
        </w:tc>
      </w:tr>
      <w:tr>
        <w:tblPrEx>
          <w:tblW w:w="0" w:type="auto"/>
          <w:jc w:val="center"/>
          <w:tblCellMar>
            <w:top w:w="0" w:type="dxa"/>
            <w:left w:w="108" w:type="dxa"/>
            <w:bottom w:w="0" w:type="dxa"/>
            <w:right w:w="108" w:type="dxa"/>
          </w:tblCellMar>
        </w:tblPrEx>
        <w:trPr>
          <w:trHeight w:val="270"/>
          <w:jc w:val="center"/>
        </w:trPr>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合计</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0</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0</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6</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1</w:t>
            </w:r>
            <w:r>
              <w:rPr>
                <w:rFonts w:ascii="宋体" w:eastAsia="宋体" w:hAnsi="宋体" w:cs="宋体"/>
                <w:b/>
                <w:kern w:val="0"/>
                <w:szCs w:val="21"/>
                <w:highlight w:val="none"/>
              </w:rPr>
              <w:t>400</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3</w:t>
            </w:r>
            <w:r>
              <w:rPr>
                <w:rFonts w:ascii="宋体" w:eastAsia="宋体" w:hAnsi="宋体" w:cs="宋体"/>
                <w:b/>
                <w:kern w:val="0"/>
                <w:szCs w:val="21"/>
                <w:highlight w:val="none"/>
              </w:rPr>
              <w:t>4</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3</w:t>
            </w:r>
            <w:r>
              <w:rPr>
                <w:rFonts w:ascii="宋体" w:eastAsia="宋体" w:hAnsi="宋体" w:cs="宋体"/>
                <w:b/>
                <w:kern w:val="0"/>
                <w:szCs w:val="21"/>
                <w:highlight w:val="none"/>
              </w:rPr>
              <w:t>690</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7</w:t>
            </w:r>
            <w:r>
              <w:rPr>
                <w:rFonts w:ascii="宋体" w:eastAsia="宋体" w:hAnsi="宋体" w:cs="宋体"/>
                <w:b/>
                <w:kern w:val="0"/>
                <w:szCs w:val="21"/>
                <w:highlight w:val="none"/>
              </w:rPr>
              <w:t>6</w:t>
            </w:r>
          </w:p>
        </w:tc>
        <w:tc>
          <w:tcPr>
            <w:tcW w:w="0" w:type="auto"/>
            <w:shd w:val="clear" w:color="auto" w:fill="auto"/>
            <w:noWrap/>
            <w:vAlign w:val="center"/>
          </w:tcPr>
          <w:p>
            <w:pPr>
              <w:widowControl/>
              <w:jc w:val="center"/>
              <w:rPr>
                <w:rFonts w:ascii="宋体" w:eastAsia="宋体" w:hAnsi="宋体" w:cs="宋体"/>
                <w:b/>
                <w:kern w:val="0"/>
                <w:szCs w:val="21"/>
                <w:highlight w:val="none"/>
              </w:rPr>
            </w:pPr>
            <w:r>
              <w:rPr>
                <w:rFonts w:ascii="宋体" w:eastAsia="宋体" w:hAnsi="宋体" w:cs="宋体" w:hint="eastAsia"/>
                <w:b/>
                <w:kern w:val="0"/>
                <w:szCs w:val="21"/>
                <w:highlight w:val="none"/>
              </w:rPr>
              <w:t>4</w:t>
            </w:r>
            <w:r>
              <w:rPr>
                <w:rFonts w:ascii="宋体" w:eastAsia="宋体" w:hAnsi="宋体" w:cs="宋体"/>
                <w:b/>
                <w:kern w:val="0"/>
                <w:szCs w:val="21"/>
                <w:highlight w:val="none"/>
              </w:rPr>
              <w:t>420</w:t>
            </w:r>
          </w:p>
        </w:tc>
      </w:tr>
    </w:tbl>
    <w:p>
      <w:pPr>
        <w:spacing w:line="360" w:lineRule="auto"/>
        <w:rPr>
          <w:rFonts w:ascii="宋体" w:eastAsia="宋体" w:hAnsi="宋体" w:cs="宋体"/>
          <w:highlight w:val="none"/>
        </w:rPr>
      </w:pPr>
    </w:p>
    <w:p>
      <w:pPr>
        <w:spacing w:line="360" w:lineRule="auto"/>
        <w:rPr>
          <w:rFonts w:ascii="宋体" w:eastAsia="宋体" w:hAnsi="宋体" w:cs="宋体"/>
          <w:highlight w:val="none"/>
        </w:rPr>
      </w:pPr>
    </w:p>
    <w:p>
      <w:pPr>
        <w:spacing w:line="360" w:lineRule="auto"/>
        <w:rPr>
          <w:rFonts w:ascii="宋体" w:eastAsia="宋体" w:hAnsi="宋体" w:cs="宋体"/>
          <w:highlight w:val="none"/>
        </w:rPr>
      </w:pPr>
    </w:p>
    <w:p>
      <w:pPr>
        <w:pStyle w:val="Heading2"/>
        <w:spacing w:before="260" w:after="260" w:line="360" w:lineRule="auto"/>
        <w:ind w:left="0" w:firstLine="210" w:firstLineChars="100"/>
        <w:rPr>
          <w:rFonts w:ascii="宋体" w:eastAsia="宋体" w:hAnsi="宋体" w:cs="宋体"/>
          <w:sz w:val="32"/>
          <w:szCs w:val="32"/>
          <w:highlight w:val="none"/>
        </w:rPr>
      </w:pPr>
      <w:bookmarkStart w:id="91" w:name="_Toc32567"/>
      <w:r>
        <w:rPr>
          <w:rFonts w:ascii="宋体" w:eastAsia="宋体" w:hAnsi="宋体" w:cs="宋体" w:hint="eastAsia"/>
          <w:sz w:val="32"/>
          <w:szCs w:val="32"/>
          <w:highlight w:val="none"/>
        </w:rPr>
        <w:t>第九章 通信管道规划</w:t>
      </w:r>
      <w:bookmarkEnd w:id="91"/>
    </w:p>
    <w:p>
      <w:pPr>
        <w:pStyle w:val="Heading3"/>
        <w:spacing w:line="360" w:lineRule="auto"/>
        <w:ind w:firstLine="420" w:firstLineChars="200"/>
        <w:rPr>
          <w:rFonts w:ascii="宋体" w:eastAsia="宋体" w:hAnsi="宋体" w:cs="宋体"/>
          <w:sz w:val="28"/>
          <w:szCs w:val="28"/>
          <w:highlight w:val="none"/>
        </w:rPr>
      </w:pPr>
      <w:bookmarkStart w:id="92" w:name="_Toc29892"/>
      <w:r>
        <w:rPr>
          <w:rFonts w:ascii="宋体" w:eastAsia="宋体" w:hAnsi="宋体" w:cs="宋体" w:hint="eastAsia"/>
          <w:sz w:val="28"/>
          <w:szCs w:val="28"/>
          <w:highlight w:val="none"/>
        </w:rPr>
        <w:t>一、传输管道规划原则</w:t>
      </w:r>
      <w:bookmarkEnd w:id="92"/>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（一）通信管道规划建设原则</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w:t>
      </w:r>
      <w:r>
        <w:rPr>
          <w:rFonts w:ascii="宋体" w:eastAsia="宋体" w:hAnsi="宋体" w:cs="宋体"/>
          <w:sz w:val="24"/>
          <w:szCs w:val="24"/>
          <w:highlight w:val="none"/>
        </w:rPr>
        <w:t>.</w:t>
      </w:r>
      <w:r>
        <w:rPr>
          <w:rFonts w:hint="eastAsia"/>
          <w:highlight w:val="none"/>
        </w:rPr>
        <w:t xml:space="preserve"> </w:t>
      </w:r>
      <w:r>
        <w:rPr>
          <w:rFonts w:ascii="宋体" w:eastAsia="宋体" w:hAnsi="宋体" w:cs="宋体" w:hint="eastAsia"/>
          <w:sz w:val="24"/>
          <w:szCs w:val="24"/>
          <w:highlight w:val="none"/>
        </w:rPr>
        <w:t>通信管道与通道路由的确定应符合下列规定</w:t>
      </w:r>
      <w:r>
        <w:rPr>
          <w:rFonts w:ascii="宋体" w:eastAsia="宋体" w:hAnsi="宋体" w:cs="宋体"/>
          <w:sz w:val="24"/>
          <w:szCs w:val="24"/>
          <w:highlight w:val="none"/>
        </w:rPr>
        <w:t>:</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w:t>
      </w:r>
      <w:r>
        <w:rPr>
          <w:rFonts w:ascii="宋体" w:eastAsia="宋体" w:hAnsi="宋体" w:cs="宋体"/>
          <w:sz w:val="24"/>
          <w:szCs w:val="24"/>
          <w:highlight w:val="none"/>
        </w:rPr>
        <w:t>通信管道与通道宜覆盖城市主要道路和楼宁、住宅小区，</w:t>
      </w:r>
      <w:r>
        <w:rPr>
          <w:rFonts w:ascii="宋体" w:eastAsia="宋体" w:hAnsi="宋体" w:cs="宋体" w:hint="eastAsia"/>
          <w:sz w:val="24"/>
          <w:szCs w:val="24"/>
          <w:highlight w:val="none"/>
        </w:rPr>
        <w:t>城市郊区的主要公路也应建设通信管道；</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w:t>
      </w:r>
      <w:r>
        <w:rPr>
          <w:rFonts w:ascii="宋体" w:eastAsia="宋体" w:hAnsi="宋体" w:cs="宋体"/>
          <w:sz w:val="24"/>
          <w:szCs w:val="24"/>
          <w:highlight w:val="none"/>
        </w:rPr>
        <w:t>通信管道与通道路由的选择应在管道规划的基础上充分</w:t>
      </w:r>
      <w:r>
        <w:rPr>
          <w:rFonts w:ascii="宋体" w:eastAsia="宋体" w:hAnsi="宋体" w:cs="宋体" w:hint="eastAsia"/>
          <w:sz w:val="24"/>
          <w:szCs w:val="24"/>
          <w:highlight w:val="none"/>
        </w:rPr>
        <w:t>研究分路建设的可行性；</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w:t>
      </w:r>
      <w:r>
        <w:rPr>
          <w:rFonts w:ascii="宋体" w:eastAsia="宋体" w:hAnsi="宋体" w:cs="宋体"/>
          <w:sz w:val="24"/>
          <w:szCs w:val="24"/>
          <w:highlight w:val="none"/>
        </w:rPr>
        <w:t>通道与通道路由应远离有害物质和化学腐蚀地带</w:t>
      </w:r>
      <w:r>
        <w:rPr>
          <w:rFonts w:ascii="宋体" w:eastAsia="宋体" w:hAnsi="宋体" w:cs="宋体" w:hint="eastAsia"/>
          <w:sz w:val="24"/>
          <w:szCs w:val="24"/>
          <w:highlight w:val="none"/>
        </w:rPr>
        <w:t>；</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（4）通信管道与通道路由应优先选择地下、地上障碍物较少的道路；</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w:t>
      </w:r>
      <w:r>
        <w:rPr>
          <w:rFonts w:ascii="宋体" w:eastAsia="宋体" w:hAnsi="宋体" w:cs="宋体"/>
          <w:sz w:val="24"/>
          <w:szCs w:val="24"/>
          <w:highlight w:val="none"/>
        </w:rPr>
        <w:t>在已有规划而尚未成型,或虽已成型但土壤未沉实的道路</w:t>
      </w:r>
      <w:r>
        <w:rPr>
          <w:rFonts w:ascii="宋体" w:eastAsia="宋体" w:hAnsi="宋体" w:cs="宋体" w:hint="eastAsia"/>
          <w:sz w:val="24"/>
          <w:szCs w:val="24"/>
          <w:highlight w:val="none"/>
        </w:rPr>
        <w:t>上</w:t>
      </w:r>
      <w:r>
        <w:rPr>
          <w:rFonts w:ascii="宋体" w:eastAsia="宋体" w:hAnsi="宋体" w:cs="宋体"/>
          <w:sz w:val="24"/>
          <w:szCs w:val="24"/>
          <w:highlight w:val="none"/>
        </w:rPr>
        <w:t>,以及流砂、翻浆等地带,不应修建通信管道与通道。</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w:t>
      </w:r>
      <w:r>
        <w:rPr>
          <w:rFonts w:ascii="宋体" w:eastAsia="宋体" w:hAnsi="宋体" w:cs="宋体"/>
          <w:sz w:val="24"/>
          <w:szCs w:val="24"/>
          <w:highlight w:val="none"/>
        </w:rPr>
        <w:t>.</w:t>
      </w:r>
      <w:r>
        <w:rPr>
          <w:rFonts w:hint="eastAsia"/>
          <w:highlight w:val="none"/>
        </w:rPr>
        <w:t xml:space="preserve"> </w:t>
      </w:r>
      <w:r>
        <w:rPr>
          <w:rFonts w:ascii="宋体" w:eastAsia="宋体" w:hAnsi="宋体" w:cs="宋体" w:hint="eastAsia"/>
          <w:sz w:val="24"/>
          <w:szCs w:val="24"/>
          <w:highlight w:val="none"/>
        </w:rPr>
        <w:t>选定通信管道号通道建筑位置时，应符合下列规定</w:t>
      </w:r>
      <w:r>
        <w:rPr>
          <w:rFonts w:ascii="宋体" w:eastAsia="宋体" w:hAnsi="宋体" w:cs="宋体"/>
          <w:sz w:val="24"/>
          <w:szCs w:val="24"/>
          <w:highlight w:val="none"/>
        </w:rPr>
        <w:t>:</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w:t>
      </w:r>
      <w:r>
        <w:rPr>
          <w:rFonts w:ascii="宋体" w:eastAsia="宋体" w:hAnsi="宋体" w:cs="宋体"/>
          <w:sz w:val="24"/>
          <w:szCs w:val="24"/>
          <w:highlight w:val="none"/>
        </w:rPr>
        <w:t>宜建在人行道下,当在人行道下无法建设时,可建在非机</w:t>
      </w:r>
      <w:r>
        <w:rPr>
          <w:rFonts w:ascii="宋体" w:eastAsia="宋体" w:hAnsi="宋体" w:cs="宋体" w:hint="eastAsia"/>
          <w:sz w:val="24"/>
          <w:szCs w:val="24"/>
          <w:highlight w:val="none"/>
        </w:rPr>
        <w:t>动车道或绿化带下，不宜建在机动车道下；</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w:t>
      </w:r>
      <w:r>
        <w:rPr>
          <w:rFonts w:ascii="宋体" w:eastAsia="宋体" w:hAnsi="宋体" w:cs="宋体"/>
          <w:sz w:val="24"/>
          <w:szCs w:val="24"/>
          <w:highlight w:val="none"/>
        </w:rPr>
        <w:t>高等级公路上的通信管道建筑位置应依次按照中央分隔</w:t>
      </w:r>
      <w:r>
        <w:rPr>
          <w:rFonts w:ascii="宋体" w:eastAsia="宋体" w:hAnsi="宋体" w:cs="宋体" w:hint="eastAsia"/>
          <w:sz w:val="24"/>
          <w:szCs w:val="24"/>
          <w:highlight w:val="none"/>
        </w:rPr>
        <w:t>带下、路肩及边坡和路侧隔离栅以内进行选择；</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w:t>
      </w:r>
      <w:r>
        <w:rPr>
          <w:rFonts w:ascii="宋体" w:eastAsia="宋体" w:hAnsi="宋体" w:cs="宋体"/>
          <w:sz w:val="24"/>
          <w:szCs w:val="24"/>
          <w:highlight w:val="none"/>
        </w:rPr>
        <w:t>通信管道与通道位置宜与通信杆路同侧</w:t>
      </w:r>
      <w:r>
        <w:rPr>
          <w:rFonts w:ascii="宋体" w:eastAsia="宋体" w:hAnsi="宋体" w:cs="宋体" w:hint="eastAsia"/>
          <w:sz w:val="24"/>
          <w:szCs w:val="24"/>
          <w:highlight w:val="none"/>
        </w:rPr>
        <w:t>；</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（4）通信管道与通道中心线应平行于道路中心线或建筑红线；</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（5）通信管道与通道位置不宜选在埋设较深的其他管线附近。</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w:t>
      </w:r>
      <w:r>
        <w:rPr>
          <w:rFonts w:ascii="宋体" w:eastAsia="宋体" w:hAnsi="宋体" w:cs="宋体"/>
          <w:sz w:val="24"/>
          <w:szCs w:val="24"/>
          <w:highlight w:val="none"/>
        </w:rPr>
        <w:t>.</w:t>
      </w:r>
      <w:r>
        <w:rPr>
          <w:rFonts w:hint="eastAsia"/>
          <w:highlight w:val="none"/>
        </w:rPr>
        <w:t xml:space="preserve"> </w:t>
      </w:r>
      <w:r>
        <w:rPr>
          <w:rFonts w:ascii="宋体" w:eastAsia="宋体" w:hAnsi="宋体" w:cs="宋体" w:hint="eastAsia"/>
          <w:sz w:val="24"/>
          <w:szCs w:val="24"/>
          <w:highlight w:val="none"/>
        </w:rPr>
        <w:t>通信管道与通道应避免与燃气管道、热力管道、输油管道、高压电力电缆在道路同侧建设。</w:t>
      </w:r>
    </w:p>
    <w:p>
      <w:pPr>
        <w:spacing w:line="360" w:lineRule="auto"/>
        <w:ind w:firstLine="420" w:firstLineChars="200"/>
        <w:rPr>
          <w:rFonts w:ascii="宋体" w:eastAsia="宋体" w:hAnsi="宋体" w:cs="宋体"/>
          <w:sz w:val="24"/>
          <w:szCs w:val="24"/>
          <w:highlight w:val="none"/>
        </w:rPr>
      </w:pPr>
      <w:r>
        <w:rPr>
          <w:rFonts w:ascii="宋体" w:eastAsia="宋体" w:hAnsi="宋体" w:cs="宋体"/>
          <w:sz w:val="24"/>
          <w:szCs w:val="24"/>
          <w:highlight w:val="none"/>
        </w:rPr>
        <w:t>4.</w:t>
      </w:r>
      <w:r>
        <w:rPr>
          <w:rFonts w:hint="eastAsia"/>
          <w:highlight w:val="none"/>
        </w:rPr>
        <w:t xml:space="preserve"> </w:t>
      </w:r>
      <w:r>
        <w:rPr>
          <w:rFonts w:ascii="宋体" w:eastAsia="宋体" w:hAnsi="宋体" w:cs="宋体" w:hint="eastAsia"/>
          <w:sz w:val="24"/>
          <w:szCs w:val="24"/>
          <w:highlight w:val="none"/>
        </w:rPr>
        <w:t>通信管道、通道与其他地下管线及建筑物同侧建设时，通信管道、通道与其他地下管线及建筑物间的最小净距应符合表</w:t>
      </w:r>
      <w:r>
        <w:rPr>
          <w:rFonts w:ascii="宋体" w:eastAsia="宋体" w:hAnsi="宋体" w:cs="宋体"/>
          <w:sz w:val="24"/>
          <w:szCs w:val="24"/>
          <w:highlight w:val="none"/>
        </w:rPr>
        <w:t>4.0.4的规定。</w:t>
      </w:r>
    </w:p>
    <w:p>
      <w:pPr>
        <w:spacing w:line="360" w:lineRule="auto"/>
        <w:ind w:firstLine="420" w:firstLineChars="200"/>
        <w:rPr>
          <w:rFonts w:ascii="宋体" w:eastAsia="宋体" w:hAnsi="宋体" w:cs="宋体"/>
          <w:sz w:val="24"/>
          <w:szCs w:val="24"/>
          <w:highlight w:val="none"/>
        </w:rPr>
      </w:pPr>
      <w:r>
        <w:rPr>
          <w:rFonts w:ascii="宋体" w:eastAsia="宋体" w:hAnsi="宋体" w:cs="宋体"/>
          <w:sz w:val="24"/>
          <w:szCs w:val="24"/>
          <w:highlight w:val="none"/>
        </w:rPr>
        <w:drawing>
          <wp:inline distT="0" distB="0" distL="0" distR="0">
            <wp:extent cx="4722495" cy="5607685"/>
            <wp:effectExtent l="0" t="0" r="1905" b="0"/>
            <wp:docPr id="197" name="图片 7"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 descr="手机屏幕的截图&#10;&#10;描述已自动生成"/>
                    <pic:cNvPicPr>
                      <a:picLocks noChangeAspect="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rcRect l="8005" r="5358"/>
                    <a:stretch>
                      <a:fillRect/>
                    </a:stretch>
                  </pic:blipFill>
                  <pic:spPr>
                    <a:xfrm>
                      <a:off x="0" y="0"/>
                      <a:ext cx="4722495" cy="5607685"/>
                    </a:xfrm>
                    <a:prstGeom prst="rect">
                      <a:avLst/>
                    </a:prstGeom>
                  </pic:spPr>
                </pic:pic>
              </a:graphicData>
            </a:graphic>
          </wp:inline>
        </w:drawing>
      </w:r>
    </w:p>
    <w:p>
      <w:pPr>
        <w:spacing w:line="360" w:lineRule="auto"/>
        <w:ind w:firstLine="420" w:firstLineChars="200"/>
        <w:rPr>
          <w:rFonts w:ascii="宋体" w:eastAsia="宋体" w:hAnsi="宋体" w:cs="宋体" w:hint="eastAsia"/>
          <w:sz w:val="24"/>
          <w:szCs w:val="24"/>
          <w:highlight w:val="none"/>
        </w:rPr>
      </w:pPr>
      <w:r>
        <w:rPr>
          <w:rFonts w:ascii="宋体" w:eastAsia="宋体" w:hAnsi="宋体" w:cs="宋体" w:hint="eastAsia"/>
          <w:sz w:val="24"/>
          <w:szCs w:val="24"/>
          <w:highlight w:val="none"/>
        </w:rPr>
        <w:t>（引自《通信管道与通道工程设计标准（建设部公开版）》GB 50373-2019）</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（二）管道管孔建设原则</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城市通信综合管道管孔数的确定可参考下表。</w:t>
      </w:r>
    </w:p>
    <w:p>
      <w:pPr>
        <w:spacing w:line="360" w:lineRule="auto"/>
        <w:ind w:firstLine="420" w:firstLineChars="200"/>
        <w:rPr>
          <w:rFonts w:ascii="宋体" w:eastAsia="宋体" w:hAnsi="宋体" w:cs="宋体"/>
          <w:sz w:val="24"/>
          <w:szCs w:val="24"/>
          <w:highlight w:val="none"/>
        </w:rPr>
      </w:pPr>
    </w:p>
    <w:p>
      <w:pPr>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w:t>
      </w:r>
      <w:r>
        <w:rPr>
          <w:rFonts w:ascii="宋体" w:eastAsia="宋体" w:hAnsi="宋体" w:cs="宋体" w:hint="eastAsia"/>
          <w:b/>
          <w:bCs/>
          <w:szCs w:val="18"/>
          <w:highlight w:val="none"/>
        </w:rPr>
        <w:t>9-1</w:t>
      </w:r>
      <w:r>
        <w:rPr>
          <w:rFonts w:ascii="宋体" w:eastAsia="宋体" w:hAnsi="宋体" w:cs="宋体" w:hint="eastAsia"/>
          <w:b/>
          <w:bCs/>
          <w:szCs w:val="21"/>
          <w:highlight w:val="none"/>
        </w:rPr>
        <w:t>城市通信综合管道管规划管孔数</w:t>
      </w:r>
    </w:p>
    <w:tbl>
      <w:tblPr>
        <w:tblStyle w:val="TableNormal"/>
        <w:tblW w:w="0" w:type="auto"/>
        <w:jc w:val="center"/>
        <w:tblLayout w:type="fixed"/>
        <w:tblCellMar>
          <w:top w:w="0" w:type="dxa"/>
          <w:left w:w="0" w:type="dxa"/>
          <w:bottom w:w="0" w:type="dxa"/>
          <w:right w:w="0" w:type="dxa"/>
        </w:tblCellMar>
      </w:tblPr>
      <w:tblGrid>
        <w:gridCol w:w="2994"/>
        <w:gridCol w:w="2875"/>
        <w:gridCol w:w="2467"/>
      </w:tblGrid>
      <w:tr>
        <w:tblPrEx>
          <w:tblW w:w="0" w:type="auto"/>
          <w:jc w:val="center"/>
          <w:tblLayout w:type="fixed"/>
          <w:tblCellMar>
            <w:top w:w="0" w:type="dxa"/>
            <w:left w:w="0" w:type="dxa"/>
            <w:bottom w:w="0" w:type="dxa"/>
            <w:right w:w="0" w:type="dxa"/>
          </w:tblCellMar>
        </w:tblPrEx>
        <w:trPr>
          <w:trHeight w:val="270"/>
          <w:tblHeader/>
          <w:jc w:val="center"/>
        </w:trPr>
        <w:tc>
          <w:tcPr>
            <w:tcW w:w="2994"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城市道路类别</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道路宽度（m）</w:t>
            </w:r>
          </w:p>
        </w:tc>
        <w:tc>
          <w:tcPr>
            <w:tcW w:w="246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管孔数（管孔）</w:t>
            </w:r>
          </w:p>
        </w:tc>
      </w:tr>
      <w:tr>
        <w:tblPrEx>
          <w:tblW w:w="0" w:type="auto"/>
          <w:jc w:val="center"/>
          <w:tblLayout w:type="fixed"/>
          <w:tblCellMar>
            <w:top w:w="0" w:type="dxa"/>
            <w:left w:w="0" w:type="dxa"/>
            <w:bottom w:w="0" w:type="dxa"/>
            <w:right w:w="0" w:type="dxa"/>
          </w:tblCellMar>
        </w:tblPrEx>
        <w:trPr>
          <w:trHeight w:val="270"/>
          <w:jc w:val="center"/>
        </w:trPr>
        <w:tc>
          <w:tcPr>
            <w:tcW w:w="2994"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主干路</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40</w:t>
            </w:r>
          </w:p>
        </w:tc>
        <w:tc>
          <w:tcPr>
            <w:tcW w:w="246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18-36</w:t>
            </w:r>
          </w:p>
        </w:tc>
      </w:tr>
      <w:tr>
        <w:tblPrEx>
          <w:tblW w:w="0" w:type="auto"/>
          <w:jc w:val="center"/>
          <w:tblLayout w:type="fixed"/>
          <w:tblCellMar>
            <w:top w:w="0" w:type="dxa"/>
            <w:left w:w="0" w:type="dxa"/>
            <w:bottom w:w="0" w:type="dxa"/>
            <w:right w:w="0" w:type="dxa"/>
          </w:tblCellMar>
        </w:tblPrEx>
        <w:trPr>
          <w:trHeight w:val="270"/>
          <w:jc w:val="center"/>
        </w:trPr>
        <w:tc>
          <w:tcPr>
            <w:tcW w:w="2994"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次干路</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30</w:t>
            </w:r>
          </w:p>
        </w:tc>
        <w:tc>
          <w:tcPr>
            <w:tcW w:w="246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14-26</w:t>
            </w:r>
          </w:p>
        </w:tc>
      </w:tr>
      <w:tr>
        <w:tblPrEx>
          <w:tblW w:w="0" w:type="auto"/>
          <w:jc w:val="center"/>
          <w:tblLayout w:type="fixed"/>
          <w:tblCellMar>
            <w:top w:w="0" w:type="dxa"/>
            <w:left w:w="0" w:type="dxa"/>
            <w:bottom w:w="0" w:type="dxa"/>
            <w:right w:w="0" w:type="dxa"/>
          </w:tblCellMar>
        </w:tblPrEx>
        <w:trPr>
          <w:trHeight w:val="270"/>
          <w:jc w:val="center"/>
        </w:trPr>
        <w:tc>
          <w:tcPr>
            <w:tcW w:w="2994"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支路</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20</w:t>
            </w:r>
          </w:p>
        </w:tc>
        <w:tc>
          <w:tcPr>
            <w:tcW w:w="246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6-10</w:t>
            </w:r>
          </w:p>
        </w:tc>
      </w:tr>
      <w:tr>
        <w:tblPrEx>
          <w:tblW w:w="0" w:type="auto"/>
          <w:jc w:val="center"/>
          <w:tblLayout w:type="fixed"/>
          <w:tblCellMar>
            <w:top w:w="0" w:type="dxa"/>
            <w:left w:w="0" w:type="dxa"/>
            <w:bottom w:w="0" w:type="dxa"/>
            <w:right w:w="0" w:type="dxa"/>
          </w:tblCellMar>
        </w:tblPrEx>
        <w:trPr>
          <w:trHeight w:val="270"/>
          <w:jc w:val="center"/>
        </w:trPr>
        <w:tc>
          <w:tcPr>
            <w:tcW w:w="2994"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跨江大桥及隧道</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w:t>
            </w:r>
          </w:p>
        </w:tc>
        <w:tc>
          <w:tcPr>
            <w:tcW w:w="246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18-36</w:t>
            </w:r>
          </w:p>
        </w:tc>
      </w:tr>
    </w:tbl>
    <w:p>
      <w:pPr>
        <w:spacing w:line="360" w:lineRule="auto"/>
        <w:ind w:firstLine="420" w:firstLineChars="200"/>
        <w:jc w:val="center"/>
        <w:rPr>
          <w:rFonts w:ascii="宋体" w:eastAsia="宋体" w:hAnsi="宋体" w:cs="宋体"/>
          <w:b/>
          <w:bCs/>
          <w:szCs w:val="21"/>
          <w:highlight w:val="none"/>
        </w:rPr>
      </w:pPr>
    </w:p>
    <w:p>
      <w:pPr>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w:t>
      </w:r>
      <w:r>
        <w:rPr>
          <w:rFonts w:ascii="宋体" w:eastAsia="宋体" w:hAnsi="宋体" w:cs="宋体" w:hint="eastAsia"/>
          <w:b/>
          <w:bCs/>
          <w:szCs w:val="18"/>
          <w:highlight w:val="none"/>
        </w:rPr>
        <w:t>9-2</w:t>
      </w:r>
      <w:r>
        <w:rPr>
          <w:rFonts w:ascii="宋体" w:eastAsia="宋体" w:hAnsi="宋体" w:cs="宋体" w:hint="eastAsia"/>
          <w:b/>
          <w:bCs/>
          <w:szCs w:val="21"/>
          <w:highlight w:val="none"/>
        </w:rPr>
        <w:t>城市环网管孔范围</w:t>
      </w:r>
    </w:p>
    <w:tbl>
      <w:tblPr>
        <w:tblStyle w:val="TableNormal"/>
        <w:tblW w:w="0" w:type="auto"/>
        <w:jc w:val="center"/>
        <w:tblLayout w:type="fixed"/>
        <w:tblCellMar>
          <w:top w:w="0" w:type="dxa"/>
          <w:left w:w="0" w:type="dxa"/>
          <w:bottom w:w="0" w:type="dxa"/>
          <w:right w:w="0" w:type="dxa"/>
        </w:tblCellMar>
      </w:tblPr>
      <w:tblGrid>
        <w:gridCol w:w="2237"/>
        <w:gridCol w:w="2013"/>
        <w:gridCol w:w="1402"/>
        <w:gridCol w:w="2684"/>
      </w:tblGrid>
      <w:tr>
        <w:tblPrEx>
          <w:tblW w:w="0" w:type="auto"/>
          <w:jc w:val="center"/>
          <w:tblLayout w:type="fixed"/>
          <w:tblCellMar>
            <w:top w:w="0" w:type="dxa"/>
            <w:left w:w="0" w:type="dxa"/>
            <w:bottom w:w="0" w:type="dxa"/>
            <w:right w:w="0" w:type="dxa"/>
          </w:tblCellMar>
        </w:tblPrEx>
        <w:trPr>
          <w:trHeight w:val="270"/>
          <w:tblHeader/>
          <w:jc w:val="center"/>
        </w:trPr>
        <w:tc>
          <w:tcPr>
            <w:tcW w:w="223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rPr>
                <w:rFonts w:ascii="宋体" w:eastAsia="宋体" w:hAnsi="宋体" w:cs="宋体"/>
                <w:b/>
                <w:szCs w:val="21"/>
                <w:highlight w:val="none"/>
              </w:rPr>
            </w:pPr>
            <w:r>
              <w:rPr>
                <w:rFonts w:ascii="宋体" w:eastAsia="宋体" w:hAnsi="宋体" w:cs="宋体" w:hint="eastAsia"/>
                <w:b/>
                <w:kern w:val="0"/>
                <w:szCs w:val="21"/>
                <w:highlight w:val="none"/>
              </w:rPr>
              <w:t>项目内容</w:t>
            </w:r>
          </w:p>
        </w:tc>
        <w:tc>
          <w:tcPr>
            <w:tcW w:w="201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rPr>
                <w:rFonts w:ascii="宋体" w:eastAsia="宋体" w:hAnsi="宋体" w:cs="宋体"/>
                <w:b/>
                <w:szCs w:val="21"/>
                <w:highlight w:val="none"/>
              </w:rPr>
            </w:pPr>
            <w:r>
              <w:rPr>
                <w:rFonts w:ascii="宋体" w:eastAsia="宋体" w:hAnsi="宋体" w:cs="宋体" w:hint="eastAsia"/>
                <w:b/>
                <w:kern w:val="0"/>
                <w:szCs w:val="21"/>
                <w:highlight w:val="none"/>
              </w:rPr>
              <w:t>适用的道路</w:t>
            </w:r>
          </w:p>
        </w:tc>
        <w:tc>
          <w:tcPr>
            <w:tcW w:w="140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rPr>
                <w:rFonts w:ascii="宋体" w:eastAsia="宋体" w:hAnsi="宋体" w:cs="宋体"/>
                <w:b/>
                <w:szCs w:val="21"/>
                <w:highlight w:val="none"/>
              </w:rPr>
            </w:pPr>
            <w:r>
              <w:rPr>
                <w:rFonts w:ascii="宋体" w:eastAsia="宋体" w:hAnsi="宋体" w:cs="宋体" w:hint="eastAsia"/>
                <w:b/>
                <w:kern w:val="0"/>
                <w:szCs w:val="21"/>
                <w:highlight w:val="none"/>
              </w:rPr>
              <w:t>管孔预测范围</w:t>
            </w:r>
          </w:p>
        </w:tc>
        <w:tc>
          <w:tcPr>
            <w:tcW w:w="2684"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rPr>
                <w:rFonts w:ascii="宋体" w:eastAsia="宋体" w:hAnsi="宋体" w:cs="宋体"/>
                <w:b/>
                <w:szCs w:val="21"/>
                <w:highlight w:val="none"/>
              </w:rPr>
            </w:pPr>
            <w:r>
              <w:rPr>
                <w:rFonts w:ascii="宋体" w:eastAsia="宋体" w:hAnsi="宋体" w:cs="宋体" w:hint="eastAsia"/>
                <w:b/>
                <w:kern w:val="0"/>
                <w:szCs w:val="21"/>
                <w:highlight w:val="none"/>
              </w:rPr>
              <w:t>管孔需求</w:t>
            </w:r>
          </w:p>
        </w:tc>
      </w:tr>
      <w:tr>
        <w:tblPrEx>
          <w:tblW w:w="0" w:type="auto"/>
          <w:jc w:val="center"/>
          <w:tblLayout w:type="fixed"/>
          <w:tblCellMar>
            <w:top w:w="0" w:type="dxa"/>
            <w:left w:w="0" w:type="dxa"/>
            <w:bottom w:w="0" w:type="dxa"/>
            <w:right w:w="0" w:type="dxa"/>
          </w:tblCellMar>
        </w:tblPrEx>
        <w:trPr>
          <w:trHeight w:val="720"/>
          <w:jc w:val="center"/>
        </w:trPr>
        <w:tc>
          <w:tcPr>
            <w:tcW w:w="8336" w:type="dxa"/>
            <w:gridSpan w:val="4"/>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1、超过40 米道路双侧布置。2、单侧布置时横过道路一个街区2~3 处。3、有综合管廊的路段按管线入廊设计。4、汇聚局房15~20 孔。5、小区内部连接管道参照住建厅文件执行。</w:t>
            </w:r>
          </w:p>
        </w:tc>
      </w:tr>
      <w:tr>
        <w:tblPrEx>
          <w:tblW w:w="0" w:type="auto"/>
          <w:jc w:val="center"/>
          <w:tblLayout w:type="fixed"/>
          <w:tblCellMar>
            <w:top w:w="0" w:type="dxa"/>
            <w:left w:w="0" w:type="dxa"/>
            <w:bottom w:w="0" w:type="dxa"/>
            <w:right w:w="0" w:type="dxa"/>
          </w:tblCellMar>
        </w:tblPrEx>
        <w:trPr>
          <w:trHeight w:val="1360"/>
          <w:jc w:val="center"/>
        </w:trPr>
        <w:tc>
          <w:tcPr>
            <w:tcW w:w="223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（≥40 米）主干通信管道</w:t>
            </w:r>
          </w:p>
        </w:tc>
        <w:tc>
          <w:tcPr>
            <w:tcW w:w="201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纵贯城市的城市主干道</w:t>
            </w:r>
          </w:p>
        </w:tc>
        <w:tc>
          <w:tcPr>
            <w:tcW w:w="140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14-16 管孔</w:t>
            </w:r>
          </w:p>
        </w:tc>
        <w:tc>
          <w:tcPr>
            <w:tcW w:w="2684"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电信：3 管孔；移动：3管孔；联通：3 管孔；广电：2 管孔；其他：3管孔。</w:t>
            </w:r>
          </w:p>
        </w:tc>
      </w:tr>
      <w:tr>
        <w:tblPrEx>
          <w:tblW w:w="0" w:type="auto"/>
          <w:jc w:val="center"/>
          <w:tblLayout w:type="fixed"/>
          <w:tblCellMar>
            <w:top w:w="0" w:type="dxa"/>
            <w:left w:w="0" w:type="dxa"/>
            <w:bottom w:w="0" w:type="dxa"/>
            <w:right w:w="0" w:type="dxa"/>
          </w:tblCellMar>
        </w:tblPrEx>
        <w:trPr>
          <w:trHeight w:val="1180"/>
          <w:jc w:val="center"/>
        </w:trPr>
        <w:tc>
          <w:tcPr>
            <w:tcW w:w="223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（≥30 米）次干通信管道</w:t>
            </w:r>
          </w:p>
        </w:tc>
        <w:tc>
          <w:tcPr>
            <w:tcW w:w="201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城市次干道</w:t>
            </w:r>
          </w:p>
        </w:tc>
        <w:tc>
          <w:tcPr>
            <w:tcW w:w="140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10-12 管孔</w:t>
            </w:r>
          </w:p>
        </w:tc>
        <w:tc>
          <w:tcPr>
            <w:tcW w:w="2684"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电信：2 管孔；移动：2管孔；联通：2 管孔；广电：1 管孔；其他：3 管孔。</w:t>
            </w:r>
          </w:p>
        </w:tc>
      </w:tr>
      <w:tr>
        <w:tblPrEx>
          <w:tblW w:w="0" w:type="auto"/>
          <w:jc w:val="center"/>
          <w:tblLayout w:type="fixed"/>
          <w:tblCellMar>
            <w:top w:w="0" w:type="dxa"/>
            <w:left w:w="0" w:type="dxa"/>
            <w:bottom w:w="0" w:type="dxa"/>
            <w:right w:w="0" w:type="dxa"/>
          </w:tblCellMar>
        </w:tblPrEx>
        <w:trPr>
          <w:trHeight w:val="1140"/>
          <w:jc w:val="center"/>
        </w:trPr>
        <w:tc>
          <w:tcPr>
            <w:tcW w:w="223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（≥20 米）支干通信管道</w:t>
            </w:r>
          </w:p>
        </w:tc>
        <w:tc>
          <w:tcPr>
            <w:tcW w:w="201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连接主干道次干道的道路</w:t>
            </w:r>
          </w:p>
        </w:tc>
        <w:tc>
          <w:tcPr>
            <w:tcW w:w="140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 xml:space="preserve"> 9-10 管孔</w:t>
            </w:r>
          </w:p>
        </w:tc>
        <w:tc>
          <w:tcPr>
            <w:tcW w:w="2684"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电信：2 管孔；移动：2管孔；联通：2 管孔；广电：1 管孔；其他：2管孔。</w:t>
            </w:r>
          </w:p>
        </w:tc>
      </w:tr>
      <w:tr>
        <w:tblPrEx>
          <w:tblW w:w="0" w:type="auto"/>
          <w:jc w:val="center"/>
          <w:tblLayout w:type="fixed"/>
          <w:tblCellMar>
            <w:top w:w="0" w:type="dxa"/>
            <w:left w:w="0" w:type="dxa"/>
            <w:bottom w:w="0" w:type="dxa"/>
            <w:right w:w="0" w:type="dxa"/>
          </w:tblCellMar>
        </w:tblPrEx>
        <w:trPr>
          <w:trHeight w:val="1340"/>
          <w:jc w:val="center"/>
        </w:trPr>
        <w:tc>
          <w:tcPr>
            <w:tcW w:w="2237"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（≤20 米）一般通信管道</w:t>
            </w:r>
          </w:p>
        </w:tc>
        <w:tc>
          <w:tcPr>
            <w:tcW w:w="201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街坊、园区内道路</w:t>
            </w:r>
          </w:p>
        </w:tc>
        <w:tc>
          <w:tcPr>
            <w:tcW w:w="140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6-8 管孔</w:t>
            </w:r>
          </w:p>
        </w:tc>
        <w:tc>
          <w:tcPr>
            <w:tcW w:w="2684"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pPr>
              <w:widowControl/>
              <w:spacing w:line="360" w:lineRule="auto"/>
              <w:jc w:val="center"/>
              <w:textAlignment w:val="center"/>
              <w:outlineLvl w:val="8"/>
              <w:rPr>
                <w:rFonts w:ascii="宋体" w:eastAsia="宋体" w:hAnsi="宋体" w:cs="宋体"/>
                <w:kern w:val="0"/>
                <w:szCs w:val="21"/>
                <w:highlight w:val="none"/>
              </w:rPr>
            </w:pPr>
            <w:r>
              <w:rPr>
                <w:rFonts w:ascii="宋体" w:eastAsia="宋体" w:hAnsi="宋体" w:cs="宋体" w:hint="eastAsia"/>
                <w:kern w:val="0"/>
                <w:szCs w:val="21"/>
                <w:highlight w:val="none"/>
              </w:rPr>
              <w:t>电信：1 管孔；移动：1管孔；联通：1 管孔；广电：1 管孔；其他：2 管孔。</w:t>
            </w:r>
          </w:p>
        </w:tc>
      </w:tr>
    </w:tbl>
    <w:p>
      <w:pPr>
        <w:spacing w:line="360" w:lineRule="auto"/>
        <w:ind w:firstLine="420" w:firstLineChars="200"/>
        <w:rPr>
          <w:rFonts w:ascii="宋体" w:eastAsia="宋体" w:hAnsi="宋体" w:cs="宋体"/>
          <w:sz w:val="24"/>
          <w:szCs w:val="24"/>
          <w:highlight w:val="none"/>
        </w:rPr>
      </w:pP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通信管道管孔数量在实际建设过程中根据规划用地性质，人口规模可有适当增减，但应明确通信管道统一规划、建设，杜绝反复、多次开挖路面的“马路拉链”问题。同时，为避免部分基础电信企业部分管孔闲置，其它基础电信企业无管孔可用的情况，应大力提倡各基础电信企业间本着公平、合理、自愿协商的原则出租各自闲置的管孔资源或闲置的光纤、电路。以最大限度的提高有限的管孔资源的利用率。</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（三）传输管道规划需求整合原则</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不同电信企业在同一路段都有需求的，需把各电信企业的需求整合成一个总需求。当道路红线宽度≥40米时，应分别统计道路两侧各自的建设需求，在道路两侧建设通信管道；当道路宽度&lt;40米时，把道路两侧的建设需求合在一起统计，选择用户较多的一侧建设单侧管道；当道路宽度&lt;40米时，对于部分段落因特殊情况需修建双侧管道的，也需要分别统计道路两侧各自的建设需求。</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（四）管道路由和位置选择要求</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1、长途管道路由和位置</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（1）长途管道的路由方案应以通信网络规划为基础进行多方案比较。</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管道路由沿靠公路时，必须充分调研公路是否有拓宽、改造计划。若公路为定型公路，管道的位置宜为公路的边沟、路肩、边沟与公路用地边缘之间，也可离开公路铺设；若公路为非定型公路，管道应离开公路铺设，还应避开公路升级改造、取直拓宽和路边其他规划的影响。管道离开公路铺设时，与公路的距离不宜超过200米，以便于光缆施工和维护。</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（3）管道沿靠高等级公路敷设时，宜选择在公路的中间隔离带，无拓宽改造计划的公路也可选择在路肩及边坡和隔离栅以内，不宜选择在隔离栅以外。</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（4）管道沿靠铁路建设时，管道的位置应便于施工和维护。</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（5）长途管道在进入市区或集镇时，应充分考虑城市或集镇发展对管道路由的影响，尽量使市政道路管道向郊外延伸，并选取安全、稳定的地点和长途管道衔接。</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2、市区管道路由和位置</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在修建市区道路管道时，应主要采用单侧修建的方式，并需根据业务发展需求进行跨路管道的建设。当规划道路红线之间的距离大于等于40m时或单侧修建时跨路管道无法满足业务发展需求时，可在道路两侧修建通信管道。</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市政道路管道宜建筑在人行道或绿化带下，次选慢车道下，不宜建筑在快车道下。当市政管道建筑在快车道下时，每隔一定距离需从人（手）孔将管孔引出至人行道或绿化带，并在人行道或绿化带增设手孔。</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核心节点、骨干汇聚节点（如：县公司节点）应至少保证两处及以上不同方向的进局管道，普通汇聚节点有条件时需尽量采用两处不同方向的管道进局方式。核心节点、汇聚节点采用两处不同方向的出局管道时，局前人（手）孔间需有连通管道。</w:t>
      </w:r>
    </w:p>
    <w:p>
      <w:pPr>
        <w:pStyle w:val="Heading3"/>
        <w:spacing w:line="360" w:lineRule="auto"/>
        <w:ind w:firstLine="420" w:firstLineChars="200"/>
        <w:rPr>
          <w:rFonts w:ascii="宋体" w:eastAsia="宋体" w:hAnsi="宋体" w:cs="宋体"/>
          <w:sz w:val="28"/>
          <w:szCs w:val="28"/>
          <w:highlight w:val="none"/>
        </w:rPr>
      </w:pPr>
      <w:bookmarkStart w:id="93" w:name="_Toc27762"/>
      <w:r>
        <w:rPr>
          <w:rFonts w:ascii="宋体" w:eastAsia="宋体" w:hAnsi="宋体" w:cs="宋体" w:hint="eastAsia"/>
          <w:sz w:val="28"/>
          <w:szCs w:val="28"/>
          <w:highlight w:val="none"/>
        </w:rPr>
        <w:t>二、传输管道规划方案</w:t>
      </w:r>
      <w:bookmarkEnd w:id="93"/>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传输管道作为城市基础设施之一，规划建设需满足国家及地方市政设施建设的相关规定。利用道路或建筑物的新建、改建机会，积极跟进管道建设，不断提高市政道路传输管道覆盖率，传输管道建设应积极采用各电信企业共建共享方式，减少重复建设，降低投资造价，有条件情况下需分设共建管道的人（手）孔，管道的容量应预留备用管孔，满足终期光缆敷设需求。根据各电信企业传输管道新建需求统筹规划，规划新建传输管道802.021公里（其中规划新建传输管道9管孔7.235公里，规划新建传输管道13管孔778.986公里, 规划新建传输管道26管孔13.3公里, 规划新建传输管道39管孔2.5公里）,各城区规划情况如下表：</w:t>
      </w:r>
    </w:p>
    <w:p>
      <w:pPr>
        <w:spacing w:line="360" w:lineRule="auto"/>
        <w:rPr>
          <w:rFonts w:ascii="宋体" w:eastAsia="宋体" w:hAnsi="宋体" w:cs="宋体" w:hint="eastAsia"/>
          <w:b/>
          <w:bCs/>
          <w:szCs w:val="21"/>
          <w:highlight w:val="none"/>
        </w:rPr>
      </w:pPr>
    </w:p>
    <w:p>
      <w:pPr>
        <w:spacing w:line="360" w:lineRule="auto"/>
        <w:jc w:val="center"/>
        <w:rPr>
          <w:rFonts w:ascii="宋体" w:eastAsia="宋体" w:hAnsi="宋体" w:cs="宋体"/>
          <w:szCs w:val="21"/>
          <w:highlight w:val="none"/>
        </w:rPr>
      </w:pPr>
      <w:r>
        <w:rPr>
          <w:rFonts w:ascii="宋体" w:eastAsia="宋体" w:hAnsi="宋体" w:cs="宋体" w:hint="eastAsia"/>
          <w:b/>
          <w:bCs/>
          <w:szCs w:val="21"/>
          <w:highlight w:val="none"/>
        </w:rPr>
        <w:t>表9-3电信企业通信管道需求表</w:t>
      </w:r>
    </w:p>
    <w:tbl>
      <w:tblPr>
        <w:tblStyle w:val="TableNormal"/>
        <w:tblW w:w="7764" w:type="dxa"/>
        <w:jc w:val="center"/>
        <w:tblLayout w:type="fixed"/>
        <w:tblCellMar>
          <w:top w:w="0" w:type="dxa"/>
          <w:left w:w="108" w:type="dxa"/>
          <w:bottom w:w="0" w:type="dxa"/>
          <w:right w:w="108" w:type="dxa"/>
        </w:tblCellMar>
      </w:tblPr>
      <w:tblGrid>
        <w:gridCol w:w="1452"/>
        <w:gridCol w:w="1271"/>
        <w:gridCol w:w="1335"/>
        <w:gridCol w:w="1272"/>
        <w:gridCol w:w="1217"/>
        <w:gridCol w:w="1217"/>
      </w:tblGrid>
      <w:tr>
        <w:tblPrEx>
          <w:tblW w:w="7764" w:type="dxa"/>
          <w:jc w:val="center"/>
          <w:tblLayout w:type="fixed"/>
          <w:tblCellMar>
            <w:top w:w="0" w:type="dxa"/>
            <w:left w:w="108" w:type="dxa"/>
            <w:bottom w:w="0" w:type="dxa"/>
            <w:right w:w="108" w:type="dxa"/>
          </w:tblCellMar>
        </w:tblPrEx>
        <w:trPr>
          <w:trHeight w:val="456"/>
          <w:tblHeader/>
          <w:jc w:val="center"/>
        </w:trPr>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区县</w:t>
            </w:r>
          </w:p>
        </w:tc>
        <w:tc>
          <w:tcPr>
            <w:tcW w:w="1271" w:type="dxa"/>
            <w:tcBorders>
              <w:top w:val="single" w:sz="4" w:space="0" w:color="auto"/>
              <w:left w:val="nil"/>
              <w:bottom w:val="single" w:sz="4" w:space="0" w:color="auto"/>
              <w:right w:val="single" w:sz="4" w:space="0" w:color="auto"/>
            </w:tcBorders>
            <w:shd w:val="clear" w:color="auto" w:fill="auto"/>
            <w:vAlign w:val="bottom"/>
          </w:tcPr>
          <w:p>
            <w:pPr>
              <w:widowControl/>
              <w:spacing w:line="240" w:lineRule="atLeast"/>
              <w:jc w:val="left"/>
              <w:rPr>
                <w:rFonts w:ascii="宋体" w:eastAsia="宋体" w:hAnsi="宋体" w:cs="宋体"/>
                <w:b/>
                <w:bCs/>
                <w:kern w:val="0"/>
                <w:szCs w:val="21"/>
                <w:highlight w:val="none"/>
              </w:rPr>
            </w:pPr>
            <w:r>
              <w:rPr>
                <w:rFonts w:ascii="宋体" w:eastAsia="宋体" w:hAnsi="宋体" w:cs="宋体" w:hint="eastAsia"/>
                <w:b/>
                <w:bCs/>
                <w:kern w:val="0"/>
                <w:szCs w:val="21"/>
                <w:highlight w:val="none"/>
              </w:rPr>
              <w:t>9孔管程（公里）</w:t>
            </w:r>
          </w:p>
        </w:tc>
        <w:tc>
          <w:tcPr>
            <w:tcW w:w="1335" w:type="dxa"/>
            <w:tcBorders>
              <w:top w:val="single" w:sz="4" w:space="0" w:color="auto"/>
              <w:left w:val="nil"/>
              <w:bottom w:val="single" w:sz="4" w:space="0" w:color="auto"/>
              <w:right w:val="single" w:sz="4" w:space="0" w:color="auto"/>
            </w:tcBorders>
            <w:shd w:val="clear" w:color="auto" w:fill="auto"/>
            <w:vAlign w:val="bottom"/>
          </w:tcPr>
          <w:p>
            <w:pPr>
              <w:widowControl/>
              <w:spacing w:line="240" w:lineRule="atLeast"/>
              <w:jc w:val="left"/>
              <w:rPr>
                <w:rFonts w:ascii="宋体" w:eastAsia="宋体" w:hAnsi="宋体" w:cs="宋体"/>
                <w:b/>
                <w:bCs/>
                <w:kern w:val="0"/>
                <w:szCs w:val="21"/>
                <w:highlight w:val="none"/>
              </w:rPr>
            </w:pPr>
            <w:r>
              <w:rPr>
                <w:rFonts w:ascii="宋体" w:eastAsia="宋体" w:hAnsi="宋体" w:cs="宋体" w:hint="eastAsia"/>
                <w:b/>
                <w:bCs/>
                <w:kern w:val="0"/>
                <w:szCs w:val="21"/>
                <w:highlight w:val="none"/>
              </w:rPr>
              <w:t>13孔管程（公里）</w:t>
            </w:r>
          </w:p>
        </w:tc>
        <w:tc>
          <w:tcPr>
            <w:tcW w:w="1272" w:type="dxa"/>
            <w:tcBorders>
              <w:top w:val="single" w:sz="4" w:space="0" w:color="auto"/>
              <w:left w:val="nil"/>
              <w:bottom w:val="single" w:sz="4" w:space="0" w:color="auto"/>
              <w:right w:val="single" w:sz="4" w:space="0" w:color="auto"/>
            </w:tcBorders>
            <w:shd w:val="clear" w:color="auto" w:fill="auto"/>
            <w:vAlign w:val="bottom"/>
          </w:tcPr>
          <w:p>
            <w:pPr>
              <w:widowControl/>
              <w:spacing w:line="240" w:lineRule="atLeast"/>
              <w:jc w:val="left"/>
              <w:rPr>
                <w:rFonts w:ascii="宋体" w:eastAsia="宋体" w:hAnsi="宋体" w:cs="宋体"/>
                <w:b/>
                <w:bCs/>
                <w:kern w:val="0"/>
                <w:szCs w:val="21"/>
                <w:highlight w:val="none"/>
              </w:rPr>
            </w:pPr>
            <w:r>
              <w:rPr>
                <w:rFonts w:ascii="宋体" w:eastAsia="宋体" w:hAnsi="宋体" w:cs="宋体" w:hint="eastAsia"/>
                <w:b/>
                <w:bCs/>
                <w:kern w:val="0"/>
                <w:szCs w:val="21"/>
                <w:highlight w:val="none"/>
              </w:rPr>
              <w:t>26孔管程（公里）</w:t>
            </w:r>
          </w:p>
        </w:tc>
        <w:tc>
          <w:tcPr>
            <w:tcW w:w="1217" w:type="dxa"/>
            <w:tcBorders>
              <w:top w:val="single" w:sz="4" w:space="0" w:color="auto"/>
              <w:left w:val="nil"/>
              <w:bottom w:val="single" w:sz="4" w:space="0" w:color="auto"/>
              <w:right w:val="single" w:sz="4" w:space="0" w:color="auto"/>
            </w:tcBorders>
            <w:shd w:val="clear" w:color="auto" w:fill="auto"/>
            <w:vAlign w:val="bottom"/>
          </w:tcPr>
          <w:p>
            <w:pPr>
              <w:widowControl/>
              <w:spacing w:line="240" w:lineRule="atLeast"/>
              <w:jc w:val="left"/>
              <w:rPr>
                <w:rFonts w:ascii="宋体" w:eastAsia="宋体" w:hAnsi="宋体" w:cs="宋体"/>
                <w:b/>
                <w:bCs/>
                <w:kern w:val="0"/>
                <w:szCs w:val="21"/>
                <w:highlight w:val="none"/>
              </w:rPr>
            </w:pPr>
            <w:r>
              <w:rPr>
                <w:rFonts w:ascii="宋体" w:eastAsia="宋体" w:hAnsi="宋体" w:cs="宋体" w:hint="eastAsia"/>
                <w:b/>
                <w:bCs/>
                <w:kern w:val="0"/>
                <w:szCs w:val="21"/>
                <w:highlight w:val="none"/>
              </w:rPr>
              <w:t>39孔管程（公里）</w:t>
            </w:r>
          </w:p>
        </w:tc>
        <w:tc>
          <w:tcPr>
            <w:tcW w:w="1217" w:type="dxa"/>
            <w:tcBorders>
              <w:top w:val="single" w:sz="4" w:space="0" w:color="auto"/>
              <w:left w:val="nil"/>
              <w:bottom w:val="single" w:sz="4" w:space="0" w:color="auto"/>
              <w:right w:val="single" w:sz="4" w:space="0" w:color="auto"/>
            </w:tcBorders>
            <w:shd w:val="clear" w:color="auto" w:fill="auto"/>
            <w:vAlign w:val="center"/>
          </w:tcPr>
          <w:p>
            <w:pPr>
              <w:widowControl/>
              <w:spacing w:line="240" w:lineRule="atLeast"/>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小计</w:t>
            </w:r>
          </w:p>
        </w:tc>
      </w:tr>
      <w:tr>
        <w:tblPrEx>
          <w:tblW w:w="7764" w:type="dxa"/>
          <w:jc w:val="center"/>
          <w:tblLayout w:type="fixed"/>
          <w:tblCellMar>
            <w:top w:w="0" w:type="dxa"/>
            <w:left w:w="108" w:type="dxa"/>
            <w:bottom w:w="0" w:type="dxa"/>
            <w:right w:w="108" w:type="dxa"/>
          </w:tblCellMar>
        </w:tblPrEx>
        <w:trPr>
          <w:trHeight w:val="279"/>
          <w:tblHeader/>
          <w:jc w:val="center"/>
        </w:trPr>
        <w:tc>
          <w:tcPr>
            <w:tcW w:w="1452" w:type="dxa"/>
            <w:tcBorders>
              <w:top w:val="nil"/>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1271"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5.035</w:t>
            </w:r>
          </w:p>
        </w:tc>
        <w:tc>
          <w:tcPr>
            <w:tcW w:w="1335"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268.393</w:t>
            </w:r>
          </w:p>
        </w:tc>
        <w:tc>
          <w:tcPr>
            <w:tcW w:w="1272"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2.8</w:t>
            </w:r>
          </w:p>
        </w:tc>
        <w:tc>
          <w:tcPr>
            <w:tcW w:w="1217"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1217" w:type="dxa"/>
            <w:tcBorders>
              <w:top w:val="nil"/>
              <w:left w:val="nil"/>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276.231</w:t>
            </w:r>
          </w:p>
        </w:tc>
      </w:tr>
      <w:tr>
        <w:tblPrEx>
          <w:tblW w:w="7764" w:type="dxa"/>
          <w:jc w:val="center"/>
          <w:tblLayout w:type="fixed"/>
          <w:tblCellMar>
            <w:top w:w="0" w:type="dxa"/>
            <w:left w:w="108" w:type="dxa"/>
            <w:bottom w:w="0" w:type="dxa"/>
            <w:right w:w="108" w:type="dxa"/>
          </w:tblCellMar>
        </w:tblPrEx>
        <w:trPr>
          <w:trHeight w:val="279"/>
          <w:tblHeader/>
          <w:jc w:val="center"/>
        </w:trPr>
        <w:tc>
          <w:tcPr>
            <w:tcW w:w="1452" w:type="dxa"/>
            <w:tcBorders>
              <w:top w:val="nil"/>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1271"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2.2</w:t>
            </w:r>
          </w:p>
        </w:tc>
        <w:tc>
          <w:tcPr>
            <w:tcW w:w="1335"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115.913</w:t>
            </w:r>
          </w:p>
        </w:tc>
        <w:tc>
          <w:tcPr>
            <w:tcW w:w="1272"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9</w:t>
            </w:r>
          </w:p>
        </w:tc>
        <w:tc>
          <w:tcPr>
            <w:tcW w:w="1217"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2.5</w:t>
            </w:r>
          </w:p>
        </w:tc>
        <w:tc>
          <w:tcPr>
            <w:tcW w:w="1217" w:type="dxa"/>
            <w:tcBorders>
              <w:top w:val="nil"/>
              <w:left w:val="nil"/>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129.613</w:t>
            </w:r>
          </w:p>
        </w:tc>
      </w:tr>
      <w:tr>
        <w:tblPrEx>
          <w:tblW w:w="7764" w:type="dxa"/>
          <w:jc w:val="center"/>
          <w:tblLayout w:type="fixed"/>
          <w:tblCellMar>
            <w:top w:w="0" w:type="dxa"/>
            <w:left w:w="108" w:type="dxa"/>
            <w:bottom w:w="0" w:type="dxa"/>
            <w:right w:w="108" w:type="dxa"/>
          </w:tblCellMar>
        </w:tblPrEx>
        <w:trPr>
          <w:trHeight w:val="279"/>
          <w:tblHeader/>
          <w:jc w:val="center"/>
        </w:trPr>
        <w:tc>
          <w:tcPr>
            <w:tcW w:w="1452" w:type="dxa"/>
            <w:tcBorders>
              <w:top w:val="nil"/>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1271"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1335"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394.68</w:t>
            </w:r>
          </w:p>
        </w:tc>
        <w:tc>
          <w:tcPr>
            <w:tcW w:w="1272"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1.5</w:t>
            </w:r>
          </w:p>
        </w:tc>
        <w:tc>
          <w:tcPr>
            <w:tcW w:w="1217"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0</w:t>
            </w:r>
          </w:p>
        </w:tc>
        <w:tc>
          <w:tcPr>
            <w:tcW w:w="1217" w:type="dxa"/>
            <w:tcBorders>
              <w:top w:val="nil"/>
              <w:left w:val="nil"/>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396.18</w:t>
            </w:r>
          </w:p>
        </w:tc>
      </w:tr>
      <w:tr>
        <w:tblPrEx>
          <w:tblW w:w="7764" w:type="dxa"/>
          <w:jc w:val="center"/>
          <w:tblLayout w:type="fixed"/>
          <w:tblCellMar>
            <w:top w:w="0" w:type="dxa"/>
            <w:left w:w="108" w:type="dxa"/>
            <w:bottom w:w="0" w:type="dxa"/>
            <w:right w:w="108" w:type="dxa"/>
          </w:tblCellMar>
        </w:tblPrEx>
        <w:trPr>
          <w:trHeight w:val="279"/>
          <w:tblHeader/>
          <w:jc w:val="center"/>
        </w:trPr>
        <w:tc>
          <w:tcPr>
            <w:tcW w:w="1452" w:type="dxa"/>
            <w:tcBorders>
              <w:top w:val="nil"/>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总计</w:t>
            </w:r>
          </w:p>
        </w:tc>
        <w:tc>
          <w:tcPr>
            <w:tcW w:w="1271"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7.235</w:t>
            </w:r>
          </w:p>
        </w:tc>
        <w:tc>
          <w:tcPr>
            <w:tcW w:w="1335"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szCs w:val="21"/>
                <w:highlight w:val="none"/>
              </w:rPr>
              <w:t>778.986</w:t>
            </w:r>
          </w:p>
        </w:tc>
        <w:tc>
          <w:tcPr>
            <w:tcW w:w="1272"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13.3</w:t>
            </w:r>
          </w:p>
        </w:tc>
        <w:tc>
          <w:tcPr>
            <w:tcW w:w="1217" w:type="dxa"/>
            <w:tcBorders>
              <w:top w:val="nil"/>
              <w:left w:val="nil"/>
              <w:bottom w:val="single" w:sz="4" w:space="0" w:color="auto"/>
              <w:right w:val="single" w:sz="4" w:space="0" w:color="auto"/>
            </w:tcBorders>
            <w:shd w:val="clear" w:color="auto" w:fill="auto"/>
            <w:noWrap/>
            <w:vAlign w:val="bottom"/>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2.5</w:t>
            </w:r>
          </w:p>
        </w:tc>
        <w:tc>
          <w:tcPr>
            <w:tcW w:w="1217" w:type="dxa"/>
            <w:tcBorders>
              <w:top w:val="nil"/>
              <w:left w:val="nil"/>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hAnsi="宋体" w:cs="宋体"/>
                <w:kern w:val="0"/>
                <w:szCs w:val="21"/>
                <w:highlight w:val="none"/>
              </w:rPr>
            </w:pPr>
            <w:r>
              <w:rPr>
                <w:rFonts w:ascii="宋体" w:eastAsia="宋体" w:hAnsi="宋体" w:cs="宋体" w:hint="eastAsia"/>
                <w:kern w:val="0"/>
                <w:szCs w:val="21"/>
                <w:highlight w:val="none"/>
              </w:rPr>
              <w:t>802.021</w:t>
            </w:r>
          </w:p>
        </w:tc>
      </w:tr>
    </w:tbl>
    <w:p>
      <w:pPr>
        <w:spacing w:line="324" w:lineRule="auto"/>
        <w:ind w:firstLine="420" w:firstLineChars="200"/>
        <w:rPr>
          <w:rFonts w:ascii="宋体" w:eastAsia="宋体" w:hAnsi="宋体" w:cs="宋体"/>
          <w:sz w:val="32"/>
          <w:szCs w:val="32"/>
          <w:highlight w:val="none"/>
        </w:rPr>
      </w:pPr>
    </w:p>
    <w:p>
      <w:pPr>
        <w:pStyle w:val="Heading2"/>
        <w:spacing w:before="260" w:after="260" w:line="360" w:lineRule="auto"/>
        <w:ind w:left="0" w:firstLine="0" w:leftChars="0" w:firstLineChars="0"/>
        <w:rPr>
          <w:rFonts w:ascii="宋体" w:eastAsia="宋体" w:hAnsi="宋体" w:cs="宋体"/>
          <w:sz w:val="32"/>
          <w:szCs w:val="32"/>
          <w:highlight w:val="none"/>
        </w:rPr>
      </w:pPr>
      <w:bookmarkStart w:id="94" w:name="_Toc13310"/>
      <w:r>
        <w:rPr>
          <w:rFonts w:ascii="宋体" w:eastAsia="宋体" w:hAnsi="宋体" w:cs="宋体" w:hint="eastAsia"/>
          <w:sz w:val="32"/>
          <w:szCs w:val="32"/>
          <w:highlight w:val="none"/>
        </w:rPr>
        <w:t>第十章 光交节点基础设施规划</w:t>
      </w:r>
      <w:bookmarkEnd w:id="94"/>
    </w:p>
    <w:p>
      <w:pPr>
        <w:pStyle w:val="Heading3"/>
        <w:spacing w:line="360" w:lineRule="auto"/>
        <w:ind w:firstLine="420" w:firstLineChars="200"/>
        <w:rPr>
          <w:rFonts w:ascii="宋体" w:eastAsia="宋体" w:hAnsi="宋体" w:cs="宋体"/>
          <w:sz w:val="28"/>
          <w:szCs w:val="28"/>
          <w:highlight w:val="none"/>
        </w:rPr>
      </w:pPr>
      <w:bookmarkStart w:id="95" w:name="_Toc3436"/>
      <w:r>
        <w:rPr>
          <w:rFonts w:ascii="宋体" w:eastAsia="宋体" w:hAnsi="宋体" w:cs="宋体" w:hint="eastAsia"/>
          <w:sz w:val="28"/>
          <w:szCs w:val="28"/>
          <w:highlight w:val="none"/>
        </w:rPr>
        <w:t>一、光交节点规划原则</w:t>
      </w:r>
      <w:bookmarkEnd w:id="95"/>
    </w:p>
    <w:p>
      <w:pPr>
        <w:pStyle w:val="Heading6"/>
        <w:spacing w:before="120" w:after="60" w:line="324" w:lineRule="auto"/>
        <w:ind w:firstLine="420" w:firstLineChars="200"/>
        <w:rPr>
          <w:rFonts w:ascii="宋体" w:eastAsia="宋体" w:hAnsi="宋体" w:cs="宋体"/>
          <w:highlight w:val="none"/>
        </w:rPr>
      </w:pPr>
      <w:r>
        <w:rPr>
          <w:rFonts w:ascii="宋体" w:eastAsia="宋体" w:hAnsi="宋体" w:cs="宋体" w:hint="eastAsia"/>
          <w:highlight w:val="none"/>
        </w:rPr>
        <w:t>（一）主干光节点规划原则</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1、主干光节点覆盖范围应依附城市规划，以城市的主要街道、河流、公园、绿化带及其他妨碍光缆线路穿行的大型障碍物为界，考虑用户密度与有效管辖区域并结合城市中现有通信管道的实际情况进行划分。</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2、主干光节点的设置应考虑周边道路管道、地理位置、安全保障能力、机房空间等因素，优先设置在用户密度中心靠各基础电信企业汇聚节点一侧。</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3、建议主干光节点设置在光缆路由方便的城市主干道路附近。城市密集区域主干光节点覆盖半径控制在300-500米，城市边缘区域范围覆盖范围在500-1000米。</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4、设置在室外的主干光节点，安全性是需要考虑的基本因素，要求防水、防尘、防潮，另外对其机械及物理性能也应重点关注。</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新建光交优先选取开放的路边小区、单位、绿地等进行建设，如需在路口建设光交的，应设在分叉路口和业务较为集中的地方，道路路口应预设计过路顶管，同时每隔500米左右应设计过路顶管，方便后期业务点接入至光交。</w:t>
      </w:r>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6、在规划光交位置时，应以深度覆盖为目标，达到客户“ 接入距离短，响应快，质量优”的要求。</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（二）主干光节点设置原则</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1、避开高压走廊和电磁重干扰区。</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2、避开高温、腐蚀和易燃易爆区。</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3、避开地势低洼区，并应在百年一遇洪水警戒水位的上方。</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4、符合城市建设规划，不妨碍交通和不影响市容观瞻。</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5、不得布设在道路转弯明显处。</w:t>
      </w:r>
    </w:p>
    <w:p>
      <w:pPr>
        <w:pStyle w:val="Heading3"/>
        <w:spacing w:line="360" w:lineRule="auto"/>
        <w:ind w:firstLine="420" w:firstLineChars="200"/>
        <w:rPr>
          <w:rFonts w:ascii="宋体" w:eastAsia="宋体" w:hAnsi="宋体" w:cs="宋体"/>
          <w:sz w:val="24"/>
          <w:szCs w:val="24"/>
          <w:highlight w:val="none"/>
        </w:rPr>
      </w:pPr>
      <w:bookmarkStart w:id="96" w:name="_Toc7357"/>
      <w:r>
        <w:rPr>
          <w:rFonts w:ascii="宋体" w:eastAsia="宋体" w:hAnsi="宋体" w:cs="宋体" w:hint="eastAsia"/>
          <w:sz w:val="28"/>
          <w:szCs w:val="28"/>
          <w:highlight w:val="none"/>
        </w:rPr>
        <w:t>二、光交节点规划方案</w:t>
      </w:r>
      <w:bookmarkEnd w:id="96"/>
    </w:p>
    <w:p>
      <w:pPr>
        <w:spacing w:line="324"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光交节点规划应面向各电信企业业务需求，统筹规划，一次规划到位，分布实施，避免重复建设光交节点，结合管道规划需求，在城区和县城主干道路、次干道路、支路等路段设立光交节点，在乡镇视发展情况结合业务发展和用户分布合理设置光交节点，根据各电信企业业务的情况合理部署光交节点容量，尽量做到一次部署到位，避免后期的重复扩容，光交节点规划建设光交节点288芯容量189个、光交节点576芯容量273个、1152芯容量2563个，合计规划光交节点3025个，光交节点及各城区分布规划情况如下表：</w:t>
      </w:r>
    </w:p>
    <w:p>
      <w:pPr>
        <w:spacing w:line="360" w:lineRule="auto"/>
        <w:jc w:val="center"/>
        <w:rPr>
          <w:rFonts w:ascii="宋体" w:eastAsia="宋体" w:hAnsi="宋体" w:cs="宋体"/>
          <w:highlight w:val="none"/>
        </w:rPr>
      </w:pPr>
      <w:r>
        <w:rPr>
          <w:rFonts w:ascii="宋体" w:eastAsia="宋体" w:hAnsi="宋体" w:cs="宋体" w:hint="eastAsia"/>
          <w:b/>
          <w:bCs/>
          <w:szCs w:val="18"/>
          <w:highlight w:val="none"/>
        </w:rPr>
        <w:t>表10-1电信企业光交节点需求表</w:t>
      </w:r>
    </w:p>
    <w:tbl>
      <w:tblPr>
        <w:tblStyle w:val="TableNormal"/>
        <w:tblW w:w="7044" w:type="dxa"/>
        <w:jc w:val="center"/>
        <w:tblLayout w:type="fixed"/>
        <w:tblCellMar>
          <w:top w:w="0" w:type="dxa"/>
          <w:left w:w="108" w:type="dxa"/>
          <w:bottom w:w="0" w:type="dxa"/>
          <w:right w:w="108" w:type="dxa"/>
        </w:tblCellMar>
      </w:tblPr>
      <w:tblGrid>
        <w:gridCol w:w="1518"/>
        <w:gridCol w:w="1337"/>
        <w:gridCol w:w="1427"/>
        <w:gridCol w:w="1390"/>
        <w:gridCol w:w="1372"/>
      </w:tblGrid>
      <w:tr>
        <w:tblPrEx>
          <w:tblW w:w="7044" w:type="dxa"/>
          <w:jc w:val="center"/>
          <w:tblLayout w:type="fixed"/>
          <w:tblCellMar>
            <w:top w:w="0" w:type="dxa"/>
            <w:left w:w="108" w:type="dxa"/>
            <w:bottom w:w="0" w:type="dxa"/>
            <w:right w:w="108" w:type="dxa"/>
          </w:tblCellMar>
        </w:tblPrEx>
        <w:trPr>
          <w:trHeight w:val="555"/>
          <w:jc w:val="center"/>
        </w:trPr>
        <w:tc>
          <w:tcPr>
            <w:tcW w:w="151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区县</w:t>
            </w:r>
          </w:p>
        </w:tc>
        <w:tc>
          <w:tcPr>
            <w:tcW w:w="1337"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288芯主干光节点数量</w:t>
            </w:r>
          </w:p>
        </w:tc>
        <w:tc>
          <w:tcPr>
            <w:tcW w:w="1427"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576芯主干光节点数量</w:t>
            </w:r>
          </w:p>
        </w:tc>
        <w:tc>
          <w:tcPr>
            <w:tcW w:w="1390"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1152芯主干光节点数量</w:t>
            </w:r>
          </w:p>
        </w:tc>
        <w:tc>
          <w:tcPr>
            <w:tcW w:w="1372"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合计</w:t>
            </w:r>
          </w:p>
        </w:tc>
      </w:tr>
      <w:tr>
        <w:tblPrEx>
          <w:tblW w:w="7044" w:type="dxa"/>
          <w:jc w:val="center"/>
          <w:tblLayout w:type="fixed"/>
          <w:tblCellMar>
            <w:top w:w="0" w:type="dxa"/>
            <w:left w:w="108" w:type="dxa"/>
            <w:bottom w:w="0" w:type="dxa"/>
            <w:right w:w="108" w:type="dxa"/>
          </w:tblCellMar>
        </w:tblPrEx>
        <w:trPr>
          <w:trHeight w:val="288"/>
          <w:jc w:val="center"/>
        </w:trPr>
        <w:tc>
          <w:tcPr>
            <w:tcW w:w="151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银海区</w:t>
            </w:r>
          </w:p>
        </w:tc>
        <w:tc>
          <w:tcPr>
            <w:tcW w:w="133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0</w:t>
            </w:r>
          </w:p>
        </w:tc>
        <w:tc>
          <w:tcPr>
            <w:tcW w:w="142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0</w:t>
            </w:r>
          </w:p>
        </w:tc>
        <w:tc>
          <w:tcPr>
            <w:tcW w:w="1390"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w:t>
            </w:r>
            <w:r>
              <w:rPr>
                <w:rFonts w:ascii="宋体" w:eastAsia="宋体" w:hAnsi="宋体" w:cs="宋体"/>
                <w:b/>
                <w:bCs/>
                <w:kern w:val="0"/>
                <w:szCs w:val="21"/>
                <w:highlight w:val="none"/>
              </w:rPr>
              <w:t>434</w:t>
            </w:r>
          </w:p>
        </w:tc>
        <w:tc>
          <w:tcPr>
            <w:tcW w:w="1372" w:type="dxa"/>
            <w:tcBorders>
              <w:top w:val="nil"/>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w:t>
            </w:r>
            <w:r>
              <w:rPr>
                <w:rFonts w:ascii="宋体" w:eastAsia="宋体" w:hAnsi="宋体" w:cs="宋体"/>
                <w:b/>
                <w:bCs/>
                <w:kern w:val="0"/>
                <w:szCs w:val="21"/>
                <w:highlight w:val="none"/>
              </w:rPr>
              <w:t>434</w:t>
            </w:r>
          </w:p>
        </w:tc>
      </w:tr>
      <w:tr>
        <w:tblPrEx>
          <w:tblW w:w="7044" w:type="dxa"/>
          <w:jc w:val="center"/>
          <w:tblLayout w:type="fixed"/>
          <w:tblCellMar>
            <w:top w:w="0" w:type="dxa"/>
            <w:left w:w="108" w:type="dxa"/>
            <w:bottom w:w="0" w:type="dxa"/>
            <w:right w:w="108" w:type="dxa"/>
          </w:tblCellMar>
        </w:tblPrEx>
        <w:trPr>
          <w:trHeight w:val="288"/>
          <w:jc w:val="center"/>
        </w:trPr>
        <w:tc>
          <w:tcPr>
            <w:tcW w:w="151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海城区</w:t>
            </w:r>
          </w:p>
        </w:tc>
        <w:tc>
          <w:tcPr>
            <w:tcW w:w="133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w:t>
            </w:r>
            <w:r>
              <w:rPr>
                <w:rFonts w:ascii="宋体" w:eastAsia="宋体" w:hAnsi="宋体" w:cs="宋体"/>
                <w:b/>
                <w:bCs/>
                <w:kern w:val="0"/>
                <w:szCs w:val="21"/>
                <w:highlight w:val="none"/>
              </w:rPr>
              <w:t>57</w:t>
            </w:r>
          </w:p>
        </w:tc>
        <w:tc>
          <w:tcPr>
            <w:tcW w:w="142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2</w:t>
            </w:r>
            <w:r>
              <w:rPr>
                <w:rFonts w:ascii="宋体" w:eastAsia="宋体" w:hAnsi="宋体" w:cs="宋体"/>
                <w:b/>
                <w:bCs/>
                <w:kern w:val="0"/>
                <w:szCs w:val="21"/>
                <w:highlight w:val="none"/>
              </w:rPr>
              <w:t>29</w:t>
            </w:r>
          </w:p>
        </w:tc>
        <w:tc>
          <w:tcPr>
            <w:tcW w:w="1390"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9</w:t>
            </w:r>
            <w:r>
              <w:rPr>
                <w:rFonts w:ascii="宋体" w:eastAsia="宋体" w:hAnsi="宋体" w:cs="宋体"/>
                <w:b/>
                <w:bCs/>
                <w:kern w:val="0"/>
                <w:szCs w:val="21"/>
                <w:highlight w:val="none"/>
              </w:rPr>
              <w:t>34</w:t>
            </w:r>
          </w:p>
        </w:tc>
        <w:tc>
          <w:tcPr>
            <w:tcW w:w="1372" w:type="dxa"/>
            <w:tcBorders>
              <w:top w:val="nil"/>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w:t>
            </w:r>
            <w:r>
              <w:rPr>
                <w:rFonts w:ascii="宋体" w:eastAsia="宋体" w:hAnsi="宋体" w:cs="宋体"/>
                <w:b/>
                <w:bCs/>
                <w:kern w:val="0"/>
                <w:szCs w:val="21"/>
                <w:highlight w:val="none"/>
              </w:rPr>
              <w:t>3</w:t>
            </w:r>
            <w:r>
              <w:rPr>
                <w:rFonts w:ascii="宋体" w:eastAsia="宋体" w:hAnsi="宋体" w:cs="宋体" w:hint="eastAsia"/>
                <w:b/>
                <w:bCs/>
                <w:kern w:val="0"/>
                <w:szCs w:val="21"/>
                <w:highlight w:val="none"/>
              </w:rPr>
              <w:t>20</w:t>
            </w:r>
          </w:p>
        </w:tc>
      </w:tr>
      <w:tr>
        <w:tblPrEx>
          <w:tblW w:w="7044" w:type="dxa"/>
          <w:jc w:val="center"/>
          <w:tblLayout w:type="fixed"/>
          <w:tblCellMar>
            <w:top w:w="0" w:type="dxa"/>
            <w:left w:w="108" w:type="dxa"/>
            <w:bottom w:w="0" w:type="dxa"/>
            <w:right w:w="108" w:type="dxa"/>
          </w:tblCellMar>
        </w:tblPrEx>
        <w:trPr>
          <w:trHeight w:val="288"/>
          <w:jc w:val="center"/>
        </w:trPr>
        <w:tc>
          <w:tcPr>
            <w:tcW w:w="151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铁山港区</w:t>
            </w:r>
          </w:p>
        </w:tc>
        <w:tc>
          <w:tcPr>
            <w:tcW w:w="133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3</w:t>
            </w:r>
            <w:r>
              <w:rPr>
                <w:rFonts w:ascii="宋体" w:eastAsia="宋体" w:hAnsi="宋体" w:cs="宋体"/>
                <w:b/>
                <w:bCs/>
                <w:kern w:val="0"/>
                <w:szCs w:val="21"/>
                <w:highlight w:val="none"/>
              </w:rPr>
              <w:t>2</w:t>
            </w:r>
          </w:p>
        </w:tc>
        <w:tc>
          <w:tcPr>
            <w:tcW w:w="142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4</w:t>
            </w:r>
            <w:r>
              <w:rPr>
                <w:rFonts w:ascii="宋体" w:eastAsia="宋体" w:hAnsi="宋体" w:cs="宋体"/>
                <w:b/>
                <w:bCs/>
                <w:kern w:val="0"/>
                <w:szCs w:val="21"/>
                <w:highlight w:val="none"/>
              </w:rPr>
              <w:t>4</w:t>
            </w:r>
          </w:p>
        </w:tc>
        <w:tc>
          <w:tcPr>
            <w:tcW w:w="1390"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w:t>
            </w:r>
            <w:r>
              <w:rPr>
                <w:rFonts w:ascii="宋体" w:eastAsia="宋体" w:hAnsi="宋体" w:cs="宋体"/>
                <w:b/>
                <w:bCs/>
                <w:kern w:val="0"/>
                <w:szCs w:val="21"/>
                <w:highlight w:val="none"/>
              </w:rPr>
              <w:t>95</w:t>
            </w:r>
          </w:p>
        </w:tc>
        <w:tc>
          <w:tcPr>
            <w:tcW w:w="1372" w:type="dxa"/>
            <w:tcBorders>
              <w:top w:val="nil"/>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2</w:t>
            </w:r>
            <w:r>
              <w:rPr>
                <w:rFonts w:ascii="宋体" w:eastAsia="宋体" w:hAnsi="宋体" w:cs="宋体"/>
                <w:b/>
                <w:bCs/>
                <w:kern w:val="0"/>
                <w:szCs w:val="21"/>
                <w:highlight w:val="none"/>
              </w:rPr>
              <w:t>71</w:t>
            </w:r>
          </w:p>
        </w:tc>
      </w:tr>
      <w:tr>
        <w:tblPrEx>
          <w:tblW w:w="7044" w:type="dxa"/>
          <w:jc w:val="center"/>
          <w:tblLayout w:type="fixed"/>
          <w:tblCellMar>
            <w:top w:w="0" w:type="dxa"/>
            <w:left w:w="108" w:type="dxa"/>
            <w:bottom w:w="0" w:type="dxa"/>
            <w:right w:w="108" w:type="dxa"/>
          </w:tblCellMar>
        </w:tblPrEx>
        <w:trPr>
          <w:trHeight w:val="288"/>
          <w:jc w:val="center"/>
        </w:trPr>
        <w:tc>
          <w:tcPr>
            <w:tcW w:w="151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总计</w:t>
            </w:r>
          </w:p>
        </w:tc>
        <w:tc>
          <w:tcPr>
            <w:tcW w:w="133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1</w:t>
            </w:r>
            <w:r>
              <w:rPr>
                <w:rFonts w:ascii="宋体" w:eastAsia="宋体" w:hAnsi="宋体" w:cs="宋体"/>
                <w:b/>
                <w:bCs/>
                <w:kern w:val="0"/>
                <w:szCs w:val="21"/>
                <w:highlight w:val="none"/>
              </w:rPr>
              <w:t>8</w:t>
            </w:r>
            <w:r>
              <w:rPr>
                <w:rFonts w:ascii="宋体" w:eastAsia="宋体" w:hAnsi="宋体" w:cs="宋体" w:hint="eastAsia"/>
                <w:b/>
                <w:bCs/>
                <w:kern w:val="0"/>
                <w:szCs w:val="21"/>
                <w:highlight w:val="none"/>
              </w:rPr>
              <w:t>9</w:t>
            </w:r>
          </w:p>
        </w:tc>
        <w:tc>
          <w:tcPr>
            <w:tcW w:w="1427"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2</w:t>
            </w:r>
            <w:r>
              <w:rPr>
                <w:rFonts w:ascii="宋体" w:eastAsia="宋体" w:hAnsi="宋体" w:cs="宋体"/>
                <w:b/>
                <w:bCs/>
                <w:kern w:val="0"/>
                <w:szCs w:val="21"/>
                <w:highlight w:val="none"/>
              </w:rPr>
              <w:t>7</w:t>
            </w:r>
            <w:r>
              <w:rPr>
                <w:rFonts w:ascii="宋体" w:eastAsia="宋体" w:hAnsi="宋体" w:cs="宋体" w:hint="eastAsia"/>
                <w:b/>
                <w:bCs/>
                <w:kern w:val="0"/>
                <w:szCs w:val="21"/>
                <w:highlight w:val="none"/>
              </w:rPr>
              <w:t>3</w:t>
            </w:r>
          </w:p>
        </w:tc>
        <w:tc>
          <w:tcPr>
            <w:tcW w:w="1390"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2</w:t>
            </w:r>
            <w:r>
              <w:rPr>
                <w:rFonts w:ascii="宋体" w:eastAsia="宋体" w:hAnsi="宋体" w:cs="宋体"/>
                <w:b/>
                <w:bCs/>
                <w:kern w:val="0"/>
                <w:szCs w:val="21"/>
                <w:highlight w:val="none"/>
              </w:rPr>
              <w:t>563</w:t>
            </w:r>
          </w:p>
        </w:tc>
        <w:tc>
          <w:tcPr>
            <w:tcW w:w="1372" w:type="dxa"/>
            <w:tcBorders>
              <w:top w:val="nil"/>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3</w:t>
            </w:r>
            <w:r>
              <w:rPr>
                <w:rFonts w:ascii="宋体" w:eastAsia="宋体" w:hAnsi="宋体" w:cs="宋体"/>
                <w:b/>
                <w:bCs/>
                <w:kern w:val="0"/>
                <w:szCs w:val="21"/>
                <w:highlight w:val="none"/>
              </w:rPr>
              <w:t>02</w:t>
            </w:r>
            <w:r>
              <w:rPr>
                <w:rFonts w:ascii="宋体" w:eastAsia="宋体" w:hAnsi="宋体" w:cs="宋体" w:hint="eastAsia"/>
                <w:b/>
                <w:bCs/>
                <w:kern w:val="0"/>
                <w:szCs w:val="21"/>
                <w:highlight w:val="none"/>
              </w:rPr>
              <w:t>5</w:t>
            </w:r>
          </w:p>
        </w:tc>
      </w:tr>
    </w:tbl>
    <w:p>
      <w:pPr>
        <w:spacing w:line="324" w:lineRule="auto"/>
        <w:rPr>
          <w:rFonts w:ascii="宋体" w:eastAsia="宋体" w:hAnsi="宋体" w:cs="宋体"/>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97" w:name="_Toc15725"/>
      <w:r>
        <w:rPr>
          <w:rFonts w:ascii="宋体" w:eastAsia="宋体" w:hAnsi="宋体" w:cs="宋体" w:hint="eastAsia"/>
          <w:sz w:val="32"/>
          <w:szCs w:val="32"/>
          <w:highlight w:val="none"/>
        </w:rPr>
        <w:t>第十一章 传输杆路基础设施规划</w:t>
      </w:r>
      <w:bookmarkEnd w:id="97"/>
    </w:p>
    <w:p>
      <w:pPr>
        <w:pStyle w:val="Heading3"/>
        <w:spacing w:line="360" w:lineRule="auto"/>
        <w:ind w:firstLine="420" w:firstLineChars="200"/>
        <w:rPr>
          <w:rFonts w:ascii="宋体" w:eastAsia="宋体" w:hAnsi="宋体" w:cs="宋体"/>
          <w:sz w:val="28"/>
          <w:szCs w:val="28"/>
          <w:highlight w:val="none"/>
        </w:rPr>
      </w:pPr>
      <w:bookmarkStart w:id="98" w:name="_Toc19236"/>
      <w:r>
        <w:rPr>
          <w:rFonts w:ascii="宋体" w:eastAsia="宋体" w:hAnsi="宋体" w:cs="宋体" w:hint="eastAsia"/>
          <w:sz w:val="28"/>
          <w:szCs w:val="28"/>
          <w:highlight w:val="none"/>
        </w:rPr>
        <w:t>一、传输杆路规划原则</w:t>
      </w:r>
      <w:bookmarkEnd w:id="98"/>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新建架空杆路、应考虑不同电信业务经营者的需求，既要循城市发展规划的要求，又要适应用户业务需要保证使用安全，统筹规划，联合共建，资源共用。同一路由不宜重复建设。</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1、杆路路由及其走向必须符合城市建设规划要求，顺应街道形状自然取值、拉平。</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2、通信杆路与电力杆咱一般应分别设立在街道的两侧，避免彼此间的往返插，确保安全可靠，符合传输要求，便于施工及维护。</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3、新建架空杆路应考虑足够的防抗台风措施，以及考虑杆路因故障倒杆后不能影响到路面上正常行驶的车辆和行人。</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4、杆路应尽量减少跨越仓库、厂房、民房；不得在显目的地方穿越广场、风影览区及城市预留筑的空地；</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5、杆路的任何部分不得妨碍必须显露的公用信号、标志以及公共建筑物的视线；</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6、杆路在城市中应避免用长杆档或飞线过河，尽量在桥梁上支架或采用介入光缆线路从桥上通过；</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7、工程线路路由上已建有电信杆路并有空余位置可以满足光（电）缆的加挂要求时，原则上不另新建杆路；原杆路上已无空余位置或建筑强度不能满足再增加光（电）缆负载时，也应尽量通过技术改造来满足再挂光（电）缆的要求。</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8、通信杆路规划应符合《GB51158-2015通信线路工程设计规范》《YD5102-2010通信线路工程设计规范》、《YD5121-2010通信线路工程验收规范》、《YD5148-2007架空光(电)缆通信杆路工程设计规范》等相关规范。</w:t>
      </w:r>
    </w:p>
    <w:p>
      <w:pPr>
        <w:spacing w:line="360" w:lineRule="auto"/>
        <w:ind w:firstLine="420" w:firstLineChars="200"/>
        <w:jc w:val="center"/>
        <w:rPr>
          <w:rFonts w:ascii="Times New Roman" w:hAnsi="Times New Roman" w:cs="Times New Roman"/>
          <w:color w:val="FF0000"/>
          <w:highlight w:val="none"/>
        </w:rPr>
      </w:pPr>
      <w:r>
        <w:rPr>
          <w:rFonts w:ascii="Times New Roman" w:hAnsi="Times New Roman" w:cs="Times New Roman"/>
          <w:color w:val="FF0000"/>
          <w:highlight w:val="none"/>
        </w:rPr>
        <w:drawing>
          <wp:inline distT="0" distB="0" distL="114300" distR="114300">
            <wp:extent cx="3305175" cy="2733675"/>
            <wp:effectExtent l="0" t="0" r="1905" b="9525"/>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xmlns:r="http://schemas.openxmlformats.org/officeDocument/2006/relationships" r:embed="rId58"/>
                    <a:stretch>
                      <a:fillRect/>
                    </a:stretch>
                  </pic:blipFill>
                  <pic:spPr>
                    <a:xfrm>
                      <a:off x="0" y="0"/>
                      <a:ext cx="3305175" cy="2733675"/>
                    </a:xfrm>
                    <a:prstGeom prst="rect">
                      <a:avLst/>
                    </a:prstGeom>
                    <a:noFill/>
                    <a:ln>
                      <a:noFill/>
                    </a:ln>
                  </pic:spPr>
                </pic:pic>
              </a:graphicData>
            </a:graphic>
          </wp:inline>
        </w:drawing>
      </w:r>
    </w:p>
    <w:p>
      <w:pPr>
        <w:spacing w:line="360" w:lineRule="auto"/>
        <w:jc w:val="center"/>
        <w:rPr>
          <w:rFonts w:ascii="宋体" w:eastAsia="宋体" w:hAnsi="宋体" w:cs="宋体"/>
          <w:sz w:val="24"/>
          <w:szCs w:val="24"/>
          <w:highlight w:val="none"/>
        </w:rPr>
      </w:pPr>
      <w:r>
        <w:rPr>
          <w:rFonts w:ascii="Times New Roman" w:eastAsia="宋体" w:hAnsi="Times New Roman" w:cs="Times New Roman"/>
          <w:color w:val="000000" w:themeColor="text1"/>
          <w:szCs w:val="24"/>
          <w:highlight w:val="none"/>
          <w14:textFill>
            <w14:solidFill>
              <w14:schemeClr w14:val="tx1"/>
            </w14:solidFill>
          </w14:textFill>
        </w:rPr>
        <w:t>图</w:t>
      </w:r>
      <w:r>
        <w:rPr>
          <w:rFonts w:ascii="Times New Roman" w:eastAsia="宋体" w:hAnsi="Times New Roman" w:cs="Times New Roman" w:hint="eastAsia"/>
          <w:color w:val="000000" w:themeColor="text1"/>
          <w:szCs w:val="24"/>
          <w:highlight w:val="none"/>
          <w14:textFill>
            <w14:solidFill>
              <w14:schemeClr w14:val="tx1"/>
            </w14:solidFill>
          </w14:textFill>
        </w:rPr>
        <w:t>11</w:t>
      </w:r>
      <w:r>
        <w:rPr>
          <w:rFonts w:ascii="Times New Roman" w:eastAsia="宋体" w:hAnsi="Times New Roman" w:cs="Times New Roman"/>
          <w:color w:val="000000" w:themeColor="text1"/>
          <w:szCs w:val="24"/>
          <w:highlight w:val="none"/>
          <w14:textFill>
            <w14:solidFill>
              <w14:schemeClr w14:val="tx1"/>
            </w14:solidFill>
          </w14:textFill>
        </w:rPr>
        <w:t>-1 通信杆路安装实景图</w:t>
      </w:r>
    </w:p>
    <w:p>
      <w:pPr>
        <w:pStyle w:val="Heading3"/>
        <w:spacing w:line="360" w:lineRule="auto"/>
        <w:ind w:firstLine="420" w:firstLineChars="200"/>
        <w:rPr>
          <w:rFonts w:ascii="宋体" w:eastAsia="宋体" w:hAnsi="宋体" w:cs="宋体"/>
          <w:sz w:val="28"/>
          <w:szCs w:val="28"/>
          <w:highlight w:val="none"/>
        </w:rPr>
      </w:pPr>
      <w:bookmarkStart w:id="99" w:name="_Toc32668"/>
      <w:r>
        <w:rPr>
          <w:rFonts w:ascii="宋体" w:eastAsia="宋体" w:hAnsi="宋体" w:cs="宋体" w:hint="eastAsia"/>
          <w:sz w:val="28"/>
          <w:szCs w:val="28"/>
          <w:highlight w:val="none"/>
        </w:rPr>
        <w:t>二、传输杆路规划方案</w:t>
      </w:r>
      <w:bookmarkEnd w:id="99"/>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新建传输杆路应考虑各电信企业的需求，统筹规划、联合建设，资源共用，不宜在统一路由重复建设，野外传输杆路一般应沿交通线，传输杆路定线在交通线用地之外，并保持一定平行距离，市区县城传输杆路线在一般人行道或与城建部门商定的位置，避免跨越房屋等建筑物，通信传输杆路不宜与电力线在同一侧。结合各电信企业传输杆路需求建设8段，共计32.776公里，各城区规划如下表：</w:t>
      </w:r>
    </w:p>
    <w:p>
      <w:pPr>
        <w:spacing w:line="360" w:lineRule="auto"/>
        <w:jc w:val="center"/>
        <w:rPr>
          <w:rFonts w:ascii="宋体" w:eastAsia="宋体" w:hAnsi="宋体" w:cs="宋体"/>
          <w:b/>
          <w:bCs/>
          <w:szCs w:val="18"/>
          <w:highlight w:val="none"/>
        </w:rPr>
      </w:pPr>
      <w:r>
        <w:rPr>
          <w:rFonts w:ascii="宋体" w:eastAsia="宋体" w:hAnsi="宋体" w:cs="宋体" w:hint="eastAsia"/>
          <w:b/>
          <w:bCs/>
          <w:szCs w:val="18"/>
          <w:highlight w:val="none"/>
        </w:rPr>
        <w:t>表11-1电信企业传输杆路需求表</w:t>
      </w:r>
    </w:p>
    <w:tbl>
      <w:tblPr>
        <w:tblStyle w:val="TableNormal"/>
        <w:tblW w:w="6804" w:type="dxa"/>
        <w:jc w:val="center"/>
        <w:tblCellMar>
          <w:top w:w="0" w:type="dxa"/>
          <w:left w:w="108" w:type="dxa"/>
          <w:bottom w:w="0" w:type="dxa"/>
          <w:right w:w="108" w:type="dxa"/>
        </w:tblCellMar>
      </w:tblPr>
      <w:tblGrid>
        <w:gridCol w:w="2268"/>
        <w:gridCol w:w="2268"/>
        <w:gridCol w:w="2268"/>
      </w:tblGrid>
      <w:tr>
        <w:tblPrEx>
          <w:tblW w:w="6804" w:type="dxa"/>
          <w:jc w:val="center"/>
          <w:tblCellMar>
            <w:top w:w="0" w:type="dxa"/>
            <w:left w:w="108" w:type="dxa"/>
            <w:bottom w:w="0" w:type="dxa"/>
            <w:right w:w="108" w:type="dxa"/>
          </w:tblCellMar>
        </w:tblPrEx>
        <w:trPr>
          <w:trHeight w:val="765"/>
          <w:jc w:val="cent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区县</w:t>
            </w:r>
          </w:p>
        </w:tc>
        <w:tc>
          <w:tcPr>
            <w:tcW w:w="2268"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杆路段落数量</w:t>
            </w:r>
          </w:p>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（段）</w:t>
            </w:r>
          </w:p>
        </w:tc>
        <w:tc>
          <w:tcPr>
            <w:tcW w:w="2268"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杆路总长度</w:t>
            </w:r>
          </w:p>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（公里）</w:t>
            </w:r>
          </w:p>
        </w:tc>
      </w:tr>
      <w:tr>
        <w:tblPrEx>
          <w:tblW w:w="6804" w:type="dxa"/>
          <w:jc w:val="center"/>
          <w:tblCellMar>
            <w:top w:w="0" w:type="dxa"/>
            <w:left w:w="108" w:type="dxa"/>
            <w:bottom w:w="0" w:type="dxa"/>
            <w:right w:w="108" w:type="dxa"/>
          </w:tblCellMar>
        </w:tblPrEx>
        <w:trPr>
          <w:trHeight w:val="27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kern w:val="0"/>
                <w:sz w:val="22"/>
                <w:highlight w:val="none"/>
              </w:rPr>
            </w:pPr>
            <w:r>
              <w:rPr>
                <w:rFonts w:ascii="Times New Roman" w:eastAsia="宋体" w:hAnsi="Times New Roman" w:cs="Times New Roman"/>
                <w:kern w:val="0"/>
                <w:sz w:val="22"/>
                <w:highlight w:val="none"/>
              </w:rPr>
              <w:t>0</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kern w:val="0"/>
                <w:sz w:val="22"/>
                <w:highlight w:val="none"/>
              </w:rPr>
            </w:pPr>
            <w:r>
              <w:rPr>
                <w:rFonts w:ascii="Times New Roman" w:eastAsia="宋体" w:hAnsi="Times New Roman" w:cs="Times New Roman"/>
                <w:kern w:val="0"/>
                <w:sz w:val="22"/>
                <w:highlight w:val="none"/>
              </w:rPr>
              <w:t>0</w:t>
            </w:r>
          </w:p>
        </w:tc>
      </w:tr>
      <w:tr>
        <w:tblPrEx>
          <w:tblW w:w="6804" w:type="dxa"/>
          <w:jc w:val="center"/>
          <w:tblCellMar>
            <w:top w:w="0" w:type="dxa"/>
            <w:left w:w="108" w:type="dxa"/>
            <w:bottom w:w="0" w:type="dxa"/>
            <w:right w:w="108" w:type="dxa"/>
          </w:tblCellMar>
        </w:tblPrEx>
        <w:trPr>
          <w:trHeight w:val="27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kern w:val="0"/>
                <w:sz w:val="22"/>
                <w:highlight w:val="none"/>
              </w:rPr>
            </w:pPr>
            <w:r>
              <w:rPr>
                <w:rFonts w:ascii="Times New Roman" w:eastAsia="宋体" w:hAnsi="Times New Roman" w:cs="Times New Roman"/>
                <w:kern w:val="0"/>
                <w:sz w:val="22"/>
                <w:highlight w:val="none"/>
              </w:rPr>
              <w:t>0</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kern w:val="0"/>
                <w:sz w:val="22"/>
                <w:highlight w:val="none"/>
              </w:rPr>
            </w:pPr>
            <w:r>
              <w:rPr>
                <w:rFonts w:ascii="Times New Roman" w:eastAsia="宋体" w:hAnsi="Times New Roman" w:cs="Times New Roman"/>
                <w:kern w:val="0"/>
                <w:sz w:val="22"/>
                <w:highlight w:val="none"/>
              </w:rPr>
              <w:t>0</w:t>
            </w:r>
          </w:p>
        </w:tc>
      </w:tr>
      <w:tr>
        <w:tblPrEx>
          <w:tblW w:w="6804" w:type="dxa"/>
          <w:jc w:val="center"/>
          <w:tblCellMar>
            <w:top w:w="0" w:type="dxa"/>
            <w:left w:w="108" w:type="dxa"/>
            <w:bottom w:w="0" w:type="dxa"/>
            <w:right w:w="108" w:type="dxa"/>
          </w:tblCellMar>
        </w:tblPrEx>
        <w:trPr>
          <w:trHeight w:val="27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kern w:val="0"/>
                <w:sz w:val="22"/>
                <w:highlight w:val="none"/>
              </w:rPr>
            </w:pPr>
            <w:r>
              <w:rPr>
                <w:rFonts w:ascii="Times New Roman" w:eastAsia="宋体" w:hAnsi="Times New Roman" w:cs="Times New Roman"/>
                <w:kern w:val="0"/>
                <w:sz w:val="22"/>
                <w:highlight w:val="none"/>
              </w:rPr>
              <w:t>8</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kern w:val="0"/>
                <w:sz w:val="22"/>
                <w:highlight w:val="none"/>
              </w:rPr>
            </w:pPr>
            <w:r>
              <w:rPr>
                <w:rFonts w:ascii="Times New Roman" w:eastAsia="宋体" w:hAnsi="Times New Roman" w:cs="Times New Roman"/>
                <w:kern w:val="0"/>
                <w:sz w:val="22"/>
                <w:highlight w:val="none"/>
              </w:rPr>
              <w:t>33</w:t>
            </w:r>
          </w:p>
        </w:tc>
      </w:tr>
      <w:tr>
        <w:tblPrEx>
          <w:tblW w:w="6804" w:type="dxa"/>
          <w:jc w:val="center"/>
          <w:tblCellMar>
            <w:top w:w="0" w:type="dxa"/>
            <w:left w:w="108" w:type="dxa"/>
            <w:bottom w:w="0" w:type="dxa"/>
            <w:right w:w="108" w:type="dxa"/>
          </w:tblCellMar>
        </w:tblPrEx>
        <w:trPr>
          <w:trHeight w:val="27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 w:val="22"/>
                <w:highlight w:val="none"/>
              </w:rPr>
            </w:pPr>
            <w:r>
              <w:rPr>
                <w:rFonts w:ascii="宋体" w:eastAsia="宋体" w:hAnsi="宋体" w:cs="宋体" w:hint="eastAsia"/>
                <w:b/>
                <w:bCs/>
                <w:kern w:val="0"/>
                <w:sz w:val="22"/>
                <w:highlight w:val="none"/>
              </w:rPr>
              <w:t>合计</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b/>
                <w:kern w:val="0"/>
                <w:sz w:val="22"/>
                <w:highlight w:val="none"/>
              </w:rPr>
            </w:pPr>
            <w:r>
              <w:rPr>
                <w:rFonts w:ascii="Times New Roman" w:eastAsia="宋体" w:hAnsi="Times New Roman" w:cs="Times New Roman"/>
                <w:b/>
                <w:kern w:val="0"/>
                <w:sz w:val="22"/>
                <w:highlight w:val="none"/>
              </w:rPr>
              <w:t>8</w:t>
            </w:r>
          </w:p>
        </w:tc>
        <w:tc>
          <w:tcPr>
            <w:tcW w:w="2268" w:type="dxa"/>
            <w:tcBorders>
              <w:top w:val="nil"/>
              <w:left w:val="nil"/>
              <w:bottom w:val="single" w:sz="4" w:space="0" w:color="auto"/>
              <w:right w:val="single" w:sz="4" w:space="0" w:color="auto"/>
            </w:tcBorders>
            <w:shd w:val="clear" w:color="auto" w:fill="auto"/>
            <w:noWrap/>
            <w:vAlign w:val="center"/>
          </w:tcPr>
          <w:p>
            <w:pPr>
              <w:widowControl/>
              <w:jc w:val="center"/>
              <w:rPr>
                <w:rFonts w:ascii="Times New Roman" w:eastAsia="宋体" w:hAnsi="Times New Roman" w:cs="Times New Roman"/>
                <w:b/>
                <w:kern w:val="0"/>
                <w:sz w:val="22"/>
                <w:highlight w:val="none"/>
              </w:rPr>
            </w:pPr>
            <w:r>
              <w:rPr>
                <w:rFonts w:ascii="Times New Roman" w:eastAsia="宋体" w:hAnsi="Times New Roman" w:cs="Times New Roman"/>
                <w:b/>
                <w:kern w:val="0"/>
                <w:sz w:val="22"/>
                <w:highlight w:val="none"/>
              </w:rPr>
              <w:t>32.776</w:t>
            </w:r>
          </w:p>
        </w:tc>
      </w:tr>
    </w:tbl>
    <w:p>
      <w:pPr>
        <w:spacing w:line="360" w:lineRule="auto"/>
        <w:rPr>
          <w:rFonts w:ascii="宋体" w:eastAsia="宋体" w:hAnsi="宋体" w:cs="宋体"/>
          <w:highlight w:val="none"/>
        </w:rPr>
      </w:pPr>
    </w:p>
    <w:p>
      <w:pPr>
        <w:pStyle w:val="Heading2"/>
        <w:spacing w:before="260" w:after="260" w:line="353" w:lineRule="auto"/>
        <w:ind w:left="0"/>
        <w:rPr>
          <w:rFonts w:ascii="宋体" w:eastAsia="宋体" w:hAnsi="宋体" w:cs="宋体"/>
          <w:sz w:val="32"/>
          <w:szCs w:val="32"/>
          <w:highlight w:val="none"/>
        </w:rPr>
      </w:pPr>
      <w:bookmarkStart w:id="100" w:name="_Toc654"/>
      <w:r>
        <w:rPr>
          <w:rFonts w:ascii="宋体" w:eastAsia="宋体" w:hAnsi="宋体" w:cs="宋体" w:hint="eastAsia"/>
          <w:sz w:val="32"/>
          <w:szCs w:val="32"/>
          <w:highlight w:val="none"/>
        </w:rPr>
        <w:t>第十二章 铁塔、机房与市电引入改造</w:t>
      </w:r>
      <w:bookmarkEnd w:id="100"/>
    </w:p>
    <w:p>
      <w:pPr>
        <w:pStyle w:val="Heading3"/>
        <w:spacing w:line="353" w:lineRule="auto"/>
        <w:ind w:firstLine="420" w:firstLineChars="200"/>
        <w:rPr>
          <w:rFonts w:ascii="宋体" w:eastAsia="宋体" w:hAnsi="宋体" w:cs="宋体"/>
          <w:sz w:val="28"/>
          <w:szCs w:val="28"/>
          <w:highlight w:val="none"/>
        </w:rPr>
      </w:pPr>
      <w:bookmarkStart w:id="101" w:name="_Toc11546"/>
      <w:r>
        <w:rPr>
          <w:rFonts w:ascii="宋体" w:eastAsia="宋体" w:hAnsi="宋体" w:cs="宋体" w:hint="eastAsia"/>
          <w:sz w:val="28"/>
          <w:szCs w:val="28"/>
          <w:highlight w:val="none"/>
        </w:rPr>
        <w:t>一、通信铁塔分类及规划原则</w:t>
      </w:r>
      <w:bookmarkEnd w:id="101"/>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本次基站新建规划</w:t>
      </w:r>
      <w:r>
        <w:rPr>
          <w:rFonts w:ascii="宋体" w:eastAsia="宋体" w:hAnsi="宋体" w:cs="宋体"/>
          <w:sz w:val="24"/>
          <w:szCs w:val="24"/>
          <w:highlight w:val="none"/>
        </w:rPr>
        <w:t>2059</w:t>
      </w:r>
      <w:r>
        <w:rPr>
          <w:rFonts w:ascii="宋体" w:eastAsia="宋体" w:hAnsi="宋体" w:cs="宋体" w:hint="eastAsia"/>
          <w:sz w:val="24"/>
          <w:szCs w:val="24"/>
          <w:highlight w:val="none"/>
        </w:rPr>
        <w:t>个，其中</w:t>
      </w:r>
      <w:r>
        <w:rPr>
          <w:rFonts w:ascii="宋体" w:eastAsia="宋体" w:hAnsi="宋体" w:cs="宋体"/>
          <w:sz w:val="24"/>
          <w:szCs w:val="24"/>
          <w:highlight w:val="none"/>
        </w:rPr>
        <w:t>1522</w:t>
      </w:r>
      <w:r>
        <w:rPr>
          <w:rFonts w:ascii="宋体" w:eastAsia="宋体" w:hAnsi="宋体" w:cs="宋体" w:hint="eastAsia"/>
          <w:sz w:val="24"/>
          <w:szCs w:val="24"/>
          <w:highlight w:val="none"/>
        </w:rPr>
        <w:t>个站点（占比</w:t>
      </w:r>
      <w:r>
        <w:rPr>
          <w:rFonts w:ascii="宋体" w:eastAsia="宋体" w:hAnsi="宋体" w:cs="宋体"/>
          <w:sz w:val="24"/>
          <w:szCs w:val="24"/>
          <w:highlight w:val="none"/>
        </w:rPr>
        <w:t>74%</w:t>
      </w:r>
      <w:r>
        <w:rPr>
          <w:rFonts w:ascii="宋体" w:eastAsia="宋体" w:hAnsi="宋体" w:cs="宋体" w:hint="eastAsia"/>
          <w:sz w:val="24"/>
          <w:szCs w:val="24"/>
          <w:highlight w:val="none"/>
        </w:rPr>
        <w:t>）满足地面塔建设方式，当中约</w:t>
      </w:r>
      <w:r>
        <w:rPr>
          <w:rFonts w:ascii="宋体" w:eastAsia="宋体" w:hAnsi="宋体" w:cs="宋体"/>
          <w:sz w:val="24"/>
          <w:szCs w:val="24"/>
          <w:highlight w:val="none"/>
        </w:rPr>
        <w:t>150</w:t>
      </w:r>
      <w:r>
        <w:rPr>
          <w:rFonts w:ascii="宋体" w:eastAsia="宋体" w:hAnsi="宋体" w:cs="宋体" w:hint="eastAsia"/>
          <w:sz w:val="24"/>
          <w:szCs w:val="24"/>
          <w:highlight w:val="none"/>
        </w:rPr>
        <w:t>个地面塔根据站址位置初步判定，可按路灯杆塔方式建设同步提供照明；</w:t>
      </w:r>
      <w:r>
        <w:rPr>
          <w:rFonts w:ascii="宋体" w:eastAsia="宋体" w:hAnsi="宋体" w:cs="宋体"/>
          <w:sz w:val="24"/>
          <w:szCs w:val="24"/>
          <w:highlight w:val="none"/>
        </w:rPr>
        <w:t>537</w:t>
      </w:r>
      <w:r>
        <w:rPr>
          <w:rFonts w:ascii="宋体" w:eastAsia="宋体" w:hAnsi="宋体" w:cs="宋体" w:hint="eastAsia"/>
          <w:sz w:val="24"/>
          <w:szCs w:val="24"/>
          <w:highlight w:val="none"/>
        </w:rPr>
        <w:t>个站点（占比</w:t>
      </w:r>
      <w:r>
        <w:rPr>
          <w:rFonts w:ascii="宋体" w:eastAsia="宋体" w:hAnsi="宋体" w:cs="宋体"/>
          <w:sz w:val="24"/>
          <w:szCs w:val="24"/>
          <w:highlight w:val="none"/>
        </w:rPr>
        <w:t>26%</w:t>
      </w:r>
      <w:r>
        <w:rPr>
          <w:rFonts w:ascii="宋体" w:eastAsia="宋体" w:hAnsi="宋体" w:cs="宋体" w:hint="eastAsia"/>
          <w:sz w:val="24"/>
          <w:szCs w:val="24"/>
          <w:highlight w:val="none"/>
        </w:rPr>
        <w:t>）满足建筑物楼面建设方式。具体通信地面塔可选择自立式塔架，自立式塔架有角钢塔、钢管塔、普通单管塔、景观塔、路灯杆塔、仿生树、增高架等；楼面站可选择抱杆、支撑杆、美化方柱等。地面塔和楼面塔两种建设方式均可按实际情况选择符合周边环境塔型。铁塔的分类如图</w:t>
      </w:r>
      <w:r>
        <w:rPr>
          <w:rFonts w:ascii="宋体" w:eastAsia="宋体" w:hAnsi="宋体" w:cs="宋体"/>
          <w:sz w:val="24"/>
          <w:szCs w:val="24"/>
          <w:highlight w:val="none"/>
        </w:rPr>
        <w:t>12-1</w:t>
      </w:r>
      <w:r>
        <w:rPr>
          <w:rFonts w:ascii="宋体" w:eastAsia="宋体" w:hAnsi="宋体" w:cs="宋体" w:hint="eastAsia"/>
          <w:sz w:val="24"/>
          <w:szCs w:val="24"/>
          <w:highlight w:val="none"/>
        </w:rPr>
        <w:t>~图1</w:t>
      </w:r>
      <w:r>
        <w:rPr>
          <w:rFonts w:ascii="宋体" w:eastAsia="宋体" w:hAnsi="宋体" w:cs="宋体"/>
          <w:sz w:val="24"/>
          <w:szCs w:val="24"/>
          <w:highlight w:val="none"/>
        </w:rPr>
        <w:t>2-5</w:t>
      </w:r>
      <w:r>
        <w:rPr>
          <w:rFonts w:ascii="宋体" w:eastAsia="宋体" w:hAnsi="宋体" w:cs="宋体" w:hint="eastAsia"/>
          <w:sz w:val="24"/>
          <w:szCs w:val="24"/>
          <w:highlight w:val="none"/>
        </w:rPr>
        <w:t>所示：</w:t>
      </w:r>
      <w:bookmarkStart w:id="102" w:name="_Toc403511874"/>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w:t>
      </w:r>
      <w:r>
        <w:rPr>
          <w:rFonts w:ascii="宋体" w:eastAsia="宋体" w:hAnsi="宋体" w:cs="宋体"/>
          <w:sz w:val="24"/>
          <w:szCs w:val="24"/>
          <w:highlight w:val="none"/>
        </w:rPr>
        <w:t>.</w:t>
      </w:r>
      <w:r>
        <w:rPr>
          <w:rFonts w:ascii="宋体" w:eastAsia="宋体" w:hAnsi="宋体" w:cs="宋体" w:hint="eastAsia"/>
          <w:sz w:val="24"/>
          <w:szCs w:val="24"/>
          <w:highlight w:val="none"/>
        </w:rPr>
        <w:t>路灯塔：具备照明功能的通信塔建议部署在城乡结合部、城中村，城市交通枢纽、景区等位置，与场景布置一同统筹考虑，提高周边照明度。</w:t>
      </w:r>
    </w:p>
    <w:p>
      <w:pPr>
        <w:pStyle w:val="ListParagraph"/>
        <w:spacing w:line="360" w:lineRule="auto"/>
        <w:ind w:left="2160" w:firstLine="0" w:firstLineChars="0"/>
        <w:rPr>
          <w:rFonts w:ascii="宋体" w:eastAsia="宋体" w:hAnsi="宋体" w:cs="宋体"/>
          <w:highlight w:val="none"/>
        </w:rPr>
      </w:pPr>
      <w:r>
        <w:rPr>
          <w:rFonts w:ascii="宋体" w:eastAsia="宋体" w:hAnsi="宋体" w:cs="宋体"/>
          <w:highlight w:val="none"/>
        </w:rPr>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73025</wp:posOffset>
                </wp:positionV>
                <wp:extent cx="4928235" cy="2590800"/>
                <wp:effectExtent l="0" t="0" r="5715" b="0"/>
                <wp:wrapNone/>
                <wp:docPr id="192" name="组合 192"/>
                <wp:cNvGraphicFramePr/>
                <a:graphic xmlns:a="http://schemas.openxmlformats.org/drawingml/2006/main">
                  <a:graphicData uri="http://schemas.microsoft.com/office/word/2010/wordprocessingGroup">
                    <wpg:wgp xmlns:wpg="http://schemas.microsoft.com/office/word/2010/wordprocessingGroup">
                      <wpg:cNvGrpSpPr/>
                      <wpg:grpSpPr>
                        <a:xfrm>
                          <a:off x="0" y="0"/>
                          <a:ext cx="4928235" cy="2590800"/>
                          <a:chOff x="0" y="0"/>
                          <a:chExt cx="4928235" cy="2590800"/>
                        </a:xfrm>
                      </wpg:grpSpPr>
                      <pic:pic xmlns:pic="http://schemas.openxmlformats.org/drawingml/2006/picture">
                        <pic:nvPicPr>
                          <pic:cNvPr id="61" name="图片 4" descr="图示&#10;&#10;描述已自动生成"/>
                          <pic:cNvPicPr>
                            <a:picLocks noChangeAspect="1"/>
                          </pic:cNvPicPr>
                        </pic:nvPicPr>
                        <pic:blipFill>
                          <a:blip xmlns:r="http://schemas.openxmlformats.org/officeDocument/2006/relationships" r:embed="rId59"/>
                          <a:stretch>
                            <a:fillRect/>
                          </a:stretch>
                        </pic:blipFill>
                        <pic:spPr>
                          <a:xfrm>
                            <a:off x="0" y="0"/>
                            <a:ext cx="3293110" cy="2590800"/>
                          </a:xfrm>
                          <a:prstGeom prst="rect">
                            <a:avLst/>
                          </a:prstGeom>
                        </pic:spPr>
                      </pic:pic>
                      <pic:pic xmlns:pic="http://schemas.openxmlformats.org/drawingml/2006/picture">
                        <pic:nvPicPr>
                          <pic:cNvPr id="62" name="图片 5" descr="街道上有许多树&#10;&#10;描述已自动生成"/>
                          <pic:cNvPicPr>
                            <a:picLocks noChangeAspect="1"/>
                          </pic:cNvPicPr>
                        </pic:nvPicPr>
                        <pic:blipFill>
                          <a:blip xmlns:r="http://schemas.openxmlformats.org/officeDocument/2006/relationships" r:embed="rId60"/>
                          <a:stretch>
                            <a:fillRect/>
                          </a:stretch>
                        </pic:blipFill>
                        <pic:spPr>
                          <a:xfrm>
                            <a:off x="3095625" y="0"/>
                            <a:ext cx="1832610" cy="2447925"/>
                          </a:xfrm>
                          <a:prstGeom prst="rect">
                            <a:avLst/>
                          </a:prstGeom>
                        </pic:spPr>
                      </pic:pic>
                    </wpg:wgp>
                  </a:graphicData>
                </a:graphic>
              </wp:anchor>
            </w:drawing>
          </mc:Choice>
          <mc:Fallback>
            <w:pict>
              <v:group id="组合 192" o:spid="_x0000_s1028" style="height:204pt;margin-left:0;margin-top:5.75pt;mso-wrap-distance-bottom:0;mso-wrap-distance-left:9pt;mso-wrap-distance-right:9pt;mso-wrap-distance-top:0;position:absolute;width:388.5pt;z-index:251658240" coordsize="21600,21600">
                <v:shape id="_x0000_s1029" type="#_x0000_t75" style="height:21600;position:absolute;width:14433">
                  <v:imagedata r:id="rId59" o:title=""/>
                </v:shape>
                <v:shape id="_x0000_s1030" type="#_x0000_t75" style="height:20409;left:13568;position:absolute;width:8032">
                  <v:imagedata r:id="rId60" o:title=""/>
                </v:shape>
              </v:group>
            </w:pict>
          </mc:Fallback>
        </mc:AlternateContent>
      </w:r>
      <w:r>
        <w:rPr>
          <w:rFonts w:ascii="宋体" w:eastAsia="宋体" w:hAnsi="宋体" w:cs="宋体"/>
          <w:highlight w:val="none"/>
        </w:rPr>
        <w:drawing>
          <wp:anchor distT="0" distB="0" distL="114300" distR="114300" simplePos="0" relativeHeight="251660288" behindDoc="0" locked="0" layoutInCell="1" allowOverlap="1">
            <wp:simplePos x="0" y="0"/>
            <wp:positionH relativeFrom="column">
              <wp:posOffset>4943475</wp:posOffset>
            </wp:positionH>
            <wp:positionV relativeFrom="paragraph">
              <wp:posOffset>72390</wp:posOffset>
            </wp:positionV>
            <wp:extent cx="1771650" cy="2447925"/>
            <wp:effectExtent l="0" t="0" r="0" b="0"/>
            <wp:wrapNone/>
            <wp:docPr id="63" name="图片 6" descr="夜晚城市街道与高楼大厦&#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descr="夜晚城市街道与高楼大厦&#10;&#10;描述已自动生成"/>
                    <pic:cNvPicPr>
                      <a:picLocks noChangeAspect="1"/>
                    </pic:cNvPicPr>
                  </pic:nvPicPr>
                  <pic:blipFill>
                    <a:blip xmlns:r="http://schemas.openxmlformats.org/officeDocument/2006/relationships" r:embed="rId61"/>
                    <a:stretch>
                      <a:fillRect/>
                    </a:stretch>
                  </pic:blipFill>
                  <pic:spPr>
                    <a:xfrm>
                      <a:off x="0" y="0"/>
                      <a:ext cx="1772522" cy="2448938"/>
                    </a:xfrm>
                    <a:prstGeom prst="rect">
                      <a:avLst/>
                    </a:prstGeom>
                  </pic:spPr>
                </pic:pic>
              </a:graphicData>
            </a:graphic>
          </wp:anchor>
        </w:drawing>
      </w:r>
    </w:p>
    <w:p>
      <w:pPr>
        <w:rPr>
          <w:rFonts w:ascii="宋体" w:eastAsia="宋体" w:hAnsi="宋体" w:cs="宋体"/>
          <w:b/>
          <w:szCs w:val="28"/>
          <w:highlight w:val="none"/>
        </w:rPr>
      </w:pPr>
    </w:p>
    <w:p>
      <w:pPr>
        <w:spacing w:line="360" w:lineRule="auto"/>
        <w:rPr>
          <w:rFonts w:ascii="宋体" w:eastAsia="宋体" w:hAnsi="宋体" w:cs="宋体"/>
          <w:sz w:val="24"/>
          <w:szCs w:val="24"/>
          <w:highlight w:val="none"/>
        </w:rPr>
      </w:pPr>
      <w:bookmarkEnd w:id="102"/>
    </w:p>
    <w:p>
      <w:pPr>
        <w:spacing w:line="360" w:lineRule="auto"/>
        <w:rPr>
          <w:rFonts w:ascii="宋体" w:eastAsia="宋体" w:hAnsi="宋体" w:cs="宋体"/>
          <w:sz w:val="24"/>
          <w:szCs w:val="24"/>
          <w:highlight w:val="none"/>
        </w:rPr>
      </w:pPr>
    </w:p>
    <w:p>
      <w:pPr>
        <w:spacing w:line="360" w:lineRule="auto"/>
        <w:rPr>
          <w:rFonts w:ascii="宋体" w:eastAsia="宋体" w:hAnsi="宋体" w:cs="宋体"/>
          <w:sz w:val="24"/>
          <w:szCs w:val="24"/>
          <w:highlight w:val="none"/>
        </w:rPr>
      </w:pPr>
    </w:p>
    <w:p>
      <w:pPr>
        <w:spacing w:line="360" w:lineRule="auto"/>
        <w:rPr>
          <w:rFonts w:ascii="宋体" w:eastAsia="宋体" w:hAnsi="宋体" w:cs="宋体"/>
          <w:sz w:val="24"/>
          <w:szCs w:val="24"/>
          <w:highlight w:val="none"/>
        </w:rPr>
      </w:pPr>
    </w:p>
    <w:p>
      <w:pPr>
        <w:spacing w:line="360" w:lineRule="auto"/>
        <w:rPr>
          <w:rFonts w:ascii="宋体" w:eastAsia="宋体" w:hAnsi="宋体" w:cs="宋体"/>
          <w:sz w:val="24"/>
          <w:szCs w:val="24"/>
          <w:highlight w:val="none"/>
        </w:rPr>
      </w:pPr>
    </w:p>
    <w:p>
      <w:pPr>
        <w:spacing w:line="360" w:lineRule="auto"/>
        <w:rPr>
          <w:rFonts w:ascii="宋体" w:eastAsia="宋体" w:hAnsi="宋体" w:cs="宋体"/>
          <w:sz w:val="24"/>
          <w:szCs w:val="24"/>
          <w:highlight w:val="none"/>
        </w:rPr>
      </w:pPr>
    </w:p>
    <w:p>
      <w:pPr>
        <w:spacing w:line="360" w:lineRule="auto"/>
        <w:rPr>
          <w:rFonts w:ascii="宋体" w:eastAsia="宋体" w:hAnsi="宋体" w:cs="宋体"/>
          <w:sz w:val="24"/>
          <w:szCs w:val="24"/>
          <w:highlight w:val="none"/>
        </w:rPr>
      </w:pPr>
    </w:p>
    <w:p>
      <w:pPr>
        <w:spacing w:line="360" w:lineRule="auto"/>
        <w:rPr>
          <w:rFonts w:ascii="宋体" w:eastAsia="宋体" w:hAnsi="宋体" w:cs="宋体"/>
          <w:sz w:val="24"/>
          <w:szCs w:val="24"/>
          <w:highlight w:val="none"/>
        </w:rPr>
      </w:pPr>
    </w:p>
    <w:p>
      <w:pPr>
        <w:pStyle w:val="Caption"/>
        <w:snapToGrid w:val="0"/>
        <w:spacing w:line="360" w:lineRule="auto"/>
        <w:ind w:firstLine="420" w:firstLineChars="200"/>
        <w:jc w:val="center"/>
        <w:rPr>
          <w:rFonts w:ascii="宋体" w:eastAsia="宋体" w:hAnsi="宋体" w:cs="宋体"/>
          <w:b/>
          <w:szCs w:val="28"/>
          <w:highlight w:val="none"/>
        </w:rPr>
      </w:pPr>
      <w:r>
        <w:rPr>
          <w:rFonts w:ascii="宋体" w:eastAsia="宋体" w:hAnsi="宋体" w:cs="宋体" w:hint="eastAsia"/>
          <w:b/>
          <w:szCs w:val="28"/>
          <w:highlight w:val="none"/>
        </w:rPr>
        <w:t>图1</w:t>
      </w:r>
      <w:r>
        <w:rPr>
          <w:rFonts w:ascii="宋体" w:eastAsia="宋体" w:hAnsi="宋体" w:cs="宋体"/>
          <w:b/>
          <w:szCs w:val="28"/>
          <w:highlight w:val="none"/>
        </w:rPr>
        <w:t xml:space="preserve">2-1 </w:t>
      </w:r>
      <w:r>
        <w:rPr>
          <w:rFonts w:ascii="宋体" w:eastAsia="宋体" w:hAnsi="宋体" w:cs="宋体" w:hint="eastAsia"/>
          <w:b/>
          <w:szCs w:val="28"/>
          <w:highlight w:val="none"/>
        </w:rPr>
        <w:t>路灯塔</w:t>
      </w:r>
    </w:p>
    <w:p>
      <w:pPr>
        <w:spacing w:line="360" w:lineRule="auto"/>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r>
        <w:rPr>
          <w:rFonts w:ascii="宋体" w:eastAsia="宋体" w:hAnsi="宋体" w:cs="宋体" w:hint="eastAsia"/>
          <w:sz w:val="24"/>
          <w:szCs w:val="24"/>
          <w:highlight w:val="none"/>
        </w:rPr>
        <w:t>2</w:t>
      </w:r>
      <w:r>
        <w:rPr>
          <w:rFonts w:ascii="宋体" w:eastAsia="宋体" w:hAnsi="宋体" w:cs="宋体"/>
          <w:sz w:val="24"/>
          <w:szCs w:val="24"/>
          <w:highlight w:val="none"/>
        </w:rPr>
        <w:t>.</w:t>
      </w:r>
      <w:r>
        <w:rPr>
          <w:rFonts w:ascii="宋体" w:eastAsia="宋体" w:hAnsi="宋体" w:cs="宋体" w:hint="eastAsia"/>
          <w:sz w:val="24"/>
          <w:szCs w:val="24"/>
          <w:highlight w:val="none"/>
        </w:rPr>
        <w:t>美化仿生树：用于古迹、风景区、公园等有特殊要求的场景。</w:t>
      </w:r>
    </w:p>
    <w:p>
      <w:pPr>
        <w:pStyle w:val="Body"/>
        <w:ind w:right="0" w:firstLine="420" w:firstLineChars="200"/>
        <w:rPr>
          <w:rFonts w:ascii="宋体" w:hAnsi="宋体" w:cs="宋体"/>
          <w:color w:val="auto"/>
          <w:highlight w:val="none"/>
        </w:rPr>
      </w:pPr>
      <w:r>
        <w:rPr>
          <w:rFonts w:ascii="宋体" w:hAnsi="宋体" w:cs="宋体" w:hint="eastAsia"/>
          <w:color w:val="auto"/>
          <w:highlight w:val="none"/>
        </w:rPr>
        <w:t xml:space="preserve">             </w:t>
      </w:r>
      <w:r>
        <w:rPr>
          <w:rFonts w:ascii="宋体" w:hAnsi="宋体" w:cs="宋体" w:hint="eastAsia"/>
          <w:color w:val="auto"/>
          <w:highlight w:val="none"/>
        </w:rPr>
        <w:drawing>
          <wp:inline distT="0" distB="0" distL="0" distR="0">
            <wp:extent cx="1657350" cy="294322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rcRect l="40837" t="48837" r="52425" b="14721"/>
                    <a:stretch>
                      <a:fillRect/>
                    </a:stretch>
                  </pic:blipFill>
                  <pic:spPr>
                    <a:xfrm>
                      <a:off x="0" y="0"/>
                      <a:ext cx="1657350" cy="2943225"/>
                    </a:xfrm>
                    <a:prstGeom prst="rect">
                      <a:avLst/>
                    </a:prstGeom>
                    <a:noFill/>
                    <a:ln>
                      <a:noFill/>
                    </a:ln>
                  </pic:spPr>
                </pic:pic>
              </a:graphicData>
            </a:graphic>
          </wp:inline>
        </w:drawing>
      </w:r>
      <w:r>
        <w:rPr>
          <w:rFonts w:ascii="宋体" w:hAnsi="宋体" w:cs="宋体" w:hint="eastAsia"/>
          <w:color w:val="auto"/>
          <w:highlight w:val="none"/>
        </w:rPr>
        <w:drawing>
          <wp:inline distT="0" distB="0" distL="0" distR="0">
            <wp:extent cx="2085975" cy="29146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85975" cy="2914650"/>
                    </a:xfrm>
                    <a:prstGeom prst="rect">
                      <a:avLst/>
                    </a:prstGeom>
                    <a:noFill/>
                    <a:ln>
                      <a:noFill/>
                    </a:ln>
                  </pic:spPr>
                </pic:pic>
              </a:graphicData>
            </a:graphic>
          </wp:inline>
        </w:drawing>
      </w:r>
    </w:p>
    <w:p>
      <w:pPr>
        <w:pStyle w:val="Caption"/>
        <w:snapToGrid w:val="0"/>
        <w:spacing w:line="360" w:lineRule="auto"/>
        <w:ind w:firstLine="420" w:firstLineChars="200"/>
        <w:jc w:val="center"/>
        <w:rPr>
          <w:rFonts w:ascii="宋体" w:eastAsia="宋体" w:hAnsi="宋体" w:cs="宋体"/>
          <w:sz w:val="24"/>
          <w:szCs w:val="24"/>
          <w:highlight w:val="none"/>
        </w:rPr>
      </w:pPr>
      <w:r>
        <w:rPr>
          <w:rFonts w:ascii="宋体" w:eastAsia="宋体" w:hAnsi="宋体" w:cs="宋体" w:hint="eastAsia"/>
          <w:b/>
          <w:szCs w:val="28"/>
          <w:highlight w:val="none"/>
        </w:rPr>
        <w:t>图12-2  美化仿生树</w:t>
      </w:r>
    </w:p>
    <w:p>
      <w:pPr>
        <w:rPr>
          <w:highlight w:val="none"/>
        </w:rPr>
      </w:pPr>
    </w:p>
    <w:p>
      <w:pPr>
        <w:spacing w:line="360" w:lineRule="auto"/>
        <w:ind w:firstLine="840" w:firstLineChars="400"/>
        <w:rPr>
          <w:rFonts w:ascii="宋体" w:eastAsia="宋体" w:hAnsi="宋体" w:cs="宋体"/>
          <w:sz w:val="24"/>
          <w:szCs w:val="24"/>
          <w:highlight w:val="none"/>
        </w:rPr>
      </w:pPr>
      <w:r>
        <w:rPr>
          <w:rFonts w:ascii="宋体" w:eastAsia="宋体" w:hAnsi="宋体" w:cs="宋体" w:hint="eastAsia"/>
          <w:sz w:val="24"/>
          <w:szCs w:val="24"/>
          <w:highlight w:val="none"/>
        </w:rPr>
        <w:t>3</w:t>
      </w:r>
      <w:r>
        <w:rPr>
          <w:rFonts w:ascii="宋体" w:eastAsia="宋体" w:hAnsi="宋体" w:cs="宋体"/>
          <w:sz w:val="24"/>
          <w:szCs w:val="24"/>
          <w:highlight w:val="none"/>
        </w:rPr>
        <w:t>.</w:t>
      </w:r>
      <w:r>
        <w:rPr>
          <w:rFonts w:ascii="宋体" w:eastAsia="宋体" w:hAnsi="宋体" w:cs="宋体" w:hint="eastAsia"/>
          <w:sz w:val="24"/>
          <w:szCs w:val="24"/>
          <w:highlight w:val="none"/>
        </w:rPr>
        <w:t>角钢塔，用于荷载量要求较大，或运输困难的山区：</w:t>
      </w:r>
    </w:p>
    <w:p>
      <w:pPr>
        <w:spacing w:line="360" w:lineRule="auto"/>
        <w:ind w:firstLine="420" w:firstLineChars="200"/>
        <w:contextualSpacing/>
        <w:rPr>
          <w:rFonts w:ascii="宋体" w:eastAsia="宋体" w:hAnsi="宋体" w:cs="宋体"/>
          <w:szCs w:val="24"/>
          <w:highlight w:val="none"/>
        </w:rPr>
      </w:pPr>
      <w:r>
        <w:rPr>
          <w:rFonts w:ascii="宋体" w:eastAsia="宋体" w:hAnsi="宋体" w:cs="宋体" w:hint="eastAsia"/>
          <w:szCs w:val="24"/>
          <w:highlight w:val="none"/>
        </w:rPr>
        <w:t xml:space="preserve">              </w:t>
      </w:r>
      <w:r>
        <w:rPr>
          <w:rFonts w:ascii="宋体" w:eastAsia="宋体" w:hAnsi="宋体" w:cs="宋体" w:hint="eastAsia"/>
          <w:szCs w:val="24"/>
          <w:highlight w:val="none"/>
        </w:rPr>
        <w:drawing>
          <wp:inline distT="0" distB="0" distL="0" distR="0">
            <wp:extent cx="1255395" cy="3181985"/>
            <wp:effectExtent l="0" t="0" r="1905" b="18415"/>
            <wp:docPr id="11" name="图片 11" descr="N}J5$[Z84K73{TOI4RYJ4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N}J5$[Z84K73{TOI4RYJ4YW"/>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rcRect r="59031"/>
                    <a:stretch>
                      <a:fillRect/>
                    </a:stretch>
                  </pic:blipFill>
                  <pic:spPr>
                    <a:xfrm>
                      <a:off x="0" y="0"/>
                      <a:ext cx="1257273" cy="3186535"/>
                    </a:xfrm>
                    <a:prstGeom prst="rect">
                      <a:avLst/>
                    </a:prstGeom>
                    <a:noFill/>
                    <a:ln>
                      <a:noFill/>
                    </a:ln>
                  </pic:spPr>
                </pic:pic>
              </a:graphicData>
            </a:graphic>
          </wp:inline>
        </w:drawing>
      </w:r>
      <w:r>
        <w:rPr>
          <w:rFonts w:ascii="宋体" w:eastAsia="宋体" w:hAnsi="宋体" w:cs="宋体" w:hint="eastAsia"/>
          <w:szCs w:val="24"/>
          <w:highlight w:val="none"/>
        </w:rPr>
        <w:drawing>
          <wp:inline distT="0" distB="0" distL="0" distR="0">
            <wp:extent cx="2362835" cy="3185795"/>
            <wp:effectExtent l="0" t="0" r="18415" b="14605"/>
            <wp:docPr id="10" name="图片 10" descr="6SDYUZ_P_NRI7XR%$@D]5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SDYUZ_P_NRI7XR%$@D]5XK"/>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62853" cy="3185477"/>
                    </a:xfrm>
                    <a:prstGeom prst="rect">
                      <a:avLst/>
                    </a:prstGeom>
                    <a:noFill/>
                    <a:ln>
                      <a:noFill/>
                    </a:ln>
                  </pic:spPr>
                </pic:pic>
              </a:graphicData>
            </a:graphic>
          </wp:inline>
        </w:drawing>
      </w:r>
    </w:p>
    <w:p>
      <w:pPr>
        <w:pStyle w:val="Caption"/>
        <w:snapToGrid w:val="0"/>
        <w:spacing w:line="360" w:lineRule="auto"/>
        <w:ind w:firstLine="420" w:firstLineChars="200"/>
        <w:jc w:val="center"/>
        <w:rPr>
          <w:rFonts w:ascii="宋体" w:eastAsia="宋体" w:hAnsi="宋体" w:cs="宋体"/>
          <w:b/>
          <w:szCs w:val="28"/>
          <w:highlight w:val="none"/>
        </w:rPr>
      </w:pPr>
      <w:r>
        <w:rPr>
          <w:rFonts w:ascii="宋体" w:eastAsia="宋体" w:hAnsi="宋体" w:cs="宋体" w:hint="eastAsia"/>
          <w:b/>
          <w:szCs w:val="28"/>
          <w:highlight w:val="none"/>
        </w:rPr>
        <w:t>图12-</w:t>
      </w:r>
      <w:r>
        <w:rPr>
          <w:rFonts w:ascii="宋体" w:eastAsia="宋体" w:hAnsi="宋体" w:cs="宋体"/>
          <w:b/>
          <w:szCs w:val="28"/>
          <w:highlight w:val="none"/>
        </w:rPr>
        <w:t>3</w:t>
      </w:r>
      <w:r>
        <w:rPr>
          <w:rFonts w:ascii="宋体" w:eastAsia="宋体" w:hAnsi="宋体" w:cs="宋体" w:hint="eastAsia"/>
          <w:b/>
          <w:szCs w:val="28"/>
          <w:highlight w:val="none"/>
        </w:rPr>
        <w:t xml:space="preserve">  角钢塔</w:t>
      </w:r>
    </w:p>
    <w:p>
      <w:pPr>
        <w:spacing w:line="360" w:lineRule="auto"/>
        <w:ind w:firstLine="420" w:firstLineChars="200"/>
        <w:rPr>
          <w:rFonts w:ascii="宋体" w:eastAsia="宋体" w:hAnsi="宋体" w:cs="宋体"/>
          <w:sz w:val="24"/>
          <w:szCs w:val="24"/>
          <w:highlight w:val="none"/>
        </w:rPr>
      </w:pPr>
    </w:p>
    <w:p>
      <w:pPr>
        <w:spacing w:line="360" w:lineRule="auto"/>
        <w:ind w:firstLine="420" w:firstLineChars="2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r>
        <w:rPr>
          <w:rFonts w:ascii="宋体" w:eastAsia="宋体" w:hAnsi="宋体" w:cs="宋体"/>
          <w:sz w:val="24"/>
          <w:szCs w:val="24"/>
          <w:highlight w:val="none"/>
        </w:rPr>
        <w:t>4.</w:t>
      </w:r>
      <w:r>
        <w:rPr>
          <w:rFonts w:ascii="宋体" w:eastAsia="宋体" w:hAnsi="宋体" w:cs="宋体" w:hint="eastAsia"/>
          <w:sz w:val="24"/>
          <w:szCs w:val="24"/>
          <w:highlight w:val="none"/>
        </w:rPr>
        <w:t>拉线塔，用于开阔山区，农村，楼顶等场景。</w:t>
      </w:r>
    </w:p>
    <w:p>
      <w:pPr>
        <w:spacing w:line="360" w:lineRule="auto"/>
        <w:ind w:firstLine="420" w:firstLineChars="200"/>
        <w:contextualSpacing/>
        <w:rPr>
          <w:rFonts w:ascii="宋体" w:eastAsia="宋体" w:hAnsi="宋体" w:cs="宋体"/>
          <w:szCs w:val="24"/>
          <w:highlight w:val="none"/>
        </w:rPr>
      </w:pPr>
      <w:r>
        <w:rPr>
          <w:rFonts w:ascii="宋体" w:eastAsia="宋体" w:hAnsi="宋体" w:cs="宋体" w:hint="eastAsia"/>
          <w:szCs w:val="24"/>
          <w:highlight w:val="none"/>
        </w:rPr>
        <w:t xml:space="preserve">        </w:t>
      </w:r>
      <w:r>
        <w:rPr>
          <w:rFonts w:ascii="宋体" w:eastAsia="宋体" w:hAnsi="宋体" w:cs="宋体" w:hint="eastAsia"/>
          <w:szCs w:val="24"/>
          <w:highlight w:val="none"/>
        </w:rPr>
        <w:drawing>
          <wp:inline distT="0" distB="0" distL="0" distR="0">
            <wp:extent cx="3209925" cy="3124200"/>
            <wp:effectExtent l="0" t="0" r="9525" b="0"/>
            <wp:docPr id="9" name="图片 9" descr="4N`4{WVIUH13PY3IEZ1H9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N`4{WVIUH13PY3IEZ1H9Q3"/>
                    <pic:cNvPicPr>
                      <a:picLocks noChangeAspect="1" noChangeArrowheads="1"/>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09925" cy="3124200"/>
                    </a:xfrm>
                    <a:prstGeom prst="rect">
                      <a:avLst/>
                    </a:prstGeom>
                    <a:noFill/>
                    <a:ln>
                      <a:noFill/>
                    </a:ln>
                  </pic:spPr>
                </pic:pic>
              </a:graphicData>
            </a:graphic>
          </wp:inline>
        </w:drawing>
      </w:r>
      <w:r>
        <w:rPr>
          <w:rFonts w:ascii="宋体" w:eastAsia="宋体" w:hAnsi="宋体" w:cs="宋体" w:hint="eastAsia"/>
          <w:szCs w:val="24"/>
          <w:highlight w:val="none"/>
        </w:rPr>
        <w:drawing>
          <wp:inline distT="0" distB="0" distL="0" distR="0">
            <wp:extent cx="2009775" cy="307657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09775" cy="3076575"/>
                    </a:xfrm>
                    <a:prstGeom prst="rect">
                      <a:avLst/>
                    </a:prstGeom>
                    <a:noFill/>
                    <a:ln>
                      <a:noFill/>
                    </a:ln>
                  </pic:spPr>
                </pic:pic>
              </a:graphicData>
            </a:graphic>
          </wp:inline>
        </w:drawing>
      </w:r>
    </w:p>
    <w:p>
      <w:pPr>
        <w:pStyle w:val="Caption"/>
        <w:snapToGrid w:val="0"/>
        <w:spacing w:line="360" w:lineRule="auto"/>
        <w:ind w:firstLine="420" w:firstLineChars="200"/>
        <w:jc w:val="center"/>
        <w:rPr>
          <w:rFonts w:ascii="宋体" w:eastAsia="宋体" w:hAnsi="宋体" w:cs="宋体"/>
          <w:sz w:val="24"/>
          <w:szCs w:val="24"/>
          <w:highlight w:val="none"/>
        </w:rPr>
      </w:pPr>
      <w:r>
        <w:rPr>
          <w:rFonts w:ascii="宋体" w:eastAsia="宋体" w:hAnsi="宋体" w:cs="宋体" w:hint="eastAsia"/>
          <w:b/>
          <w:szCs w:val="28"/>
          <w:highlight w:val="none"/>
        </w:rPr>
        <w:t>图12-</w:t>
      </w:r>
      <w:r>
        <w:rPr>
          <w:rFonts w:ascii="宋体" w:eastAsia="宋体" w:hAnsi="宋体" w:cs="宋体"/>
          <w:b/>
          <w:szCs w:val="28"/>
          <w:highlight w:val="none"/>
        </w:rPr>
        <w:t>4</w:t>
      </w:r>
      <w:r>
        <w:rPr>
          <w:rFonts w:ascii="宋体" w:eastAsia="宋体" w:hAnsi="宋体" w:cs="宋体" w:hint="eastAsia"/>
          <w:b/>
          <w:szCs w:val="28"/>
          <w:highlight w:val="none"/>
        </w:rPr>
        <w:t xml:space="preserve">  拉线塔</w:t>
      </w:r>
    </w:p>
    <w:p>
      <w:pPr>
        <w:spacing w:line="360" w:lineRule="auto"/>
        <w:ind w:firstLine="420" w:firstLineChars="200"/>
        <w:rPr>
          <w:rFonts w:ascii="宋体" w:eastAsia="宋体" w:hAnsi="宋体" w:cs="宋体"/>
          <w:sz w:val="24"/>
          <w:szCs w:val="24"/>
          <w:highlight w:val="none"/>
        </w:rPr>
      </w:pPr>
    </w:p>
    <w:p>
      <w:pPr>
        <w:spacing w:line="360" w:lineRule="auto"/>
        <w:ind w:firstLine="630" w:firstLineChars="300"/>
        <w:rPr>
          <w:rFonts w:ascii="宋体" w:eastAsia="宋体" w:hAnsi="宋体" w:cs="宋体"/>
          <w:sz w:val="24"/>
          <w:szCs w:val="24"/>
          <w:highlight w:val="none"/>
        </w:rPr>
      </w:pPr>
      <w:r>
        <w:rPr>
          <w:rFonts w:ascii="宋体" w:eastAsia="宋体" w:hAnsi="宋体" w:cs="宋体"/>
          <w:sz w:val="24"/>
          <w:szCs w:val="24"/>
          <w:highlight w:val="none"/>
        </w:rPr>
        <w:t>5.</w:t>
      </w:r>
      <w:r>
        <w:rPr>
          <w:rFonts w:ascii="宋体" w:eastAsia="宋体" w:hAnsi="宋体" w:cs="宋体" w:hint="eastAsia"/>
          <w:sz w:val="24"/>
          <w:szCs w:val="24"/>
          <w:highlight w:val="none"/>
        </w:rPr>
        <w:t>屋面支撑杆，主要适用于楼顶场景。</w:t>
      </w:r>
    </w:p>
    <w:p>
      <w:pPr>
        <w:spacing w:line="360" w:lineRule="auto"/>
        <w:contextualSpacing/>
        <w:jc w:val="center"/>
        <w:rPr>
          <w:rFonts w:ascii="宋体" w:eastAsia="宋体" w:hAnsi="宋体" w:cs="宋体"/>
          <w:szCs w:val="24"/>
          <w:highlight w:val="none"/>
        </w:rPr>
      </w:pPr>
      <w:r>
        <w:rPr>
          <w:rFonts w:ascii="宋体" w:eastAsia="宋体" w:hAnsi="宋体" w:cs="宋体" w:hint="eastAsia"/>
          <w:szCs w:val="24"/>
          <w:highlight w:val="none"/>
        </w:rPr>
        <w:drawing>
          <wp:inline distT="0" distB="0" distL="0" distR="0">
            <wp:extent cx="2680970" cy="3093720"/>
            <wp:effectExtent l="0" t="0" r="0"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rcRect l="5002" t="4071" r="5545" b="1874"/>
                    <a:stretch>
                      <a:fillRect/>
                    </a:stretch>
                  </pic:blipFill>
                  <pic:spPr>
                    <a:xfrm>
                      <a:off x="0" y="0"/>
                      <a:ext cx="2682462" cy="3095149"/>
                    </a:xfrm>
                    <a:prstGeom prst="rect">
                      <a:avLst/>
                    </a:prstGeom>
                    <a:noFill/>
                    <a:ln>
                      <a:noFill/>
                    </a:ln>
                  </pic:spPr>
                </pic:pic>
              </a:graphicData>
            </a:graphic>
          </wp:inline>
        </w:drawing>
      </w:r>
      <w:r>
        <w:rPr>
          <w:rFonts w:ascii="宋体" w:eastAsia="宋体" w:hAnsi="宋体" w:cs="宋体" w:hint="eastAsia"/>
          <w:szCs w:val="24"/>
          <w:highlight w:val="none"/>
        </w:rPr>
        <w:drawing>
          <wp:inline distT="0" distB="0" distL="0" distR="0">
            <wp:extent cx="2551430" cy="3159760"/>
            <wp:effectExtent l="0" t="0" r="127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0053" cy="3158077"/>
                    </a:xfrm>
                    <a:prstGeom prst="rect">
                      <a:avLst/>
                    </a:prstGeom>
                    <a:noFill/>
                    <a:ln>
                      <a:noFill/>
                    </a:ln>
                  </pic:spPr>
                </pic:pic>
              </a:graphicData>
            </a:graphic>
          </wp:inline>
        </w:drawing>
      </w:r>
    </w:p>
    <w:p>
      <w:pPr>
        <w:spacing w:line="360" w:lineRule="auto"/>
        <w:contextualSpacing/>
        <w:jc w:val="center"/>
        <w:rPr>
          <w:highlight w:val="none"/>
        </w:rPr>
      </w:pPr>
      <w:r>
        <w:rPr>
          <w:rFonts w:ascii="宋体" w:eastAsia="宋体" w:hAnsi="宋体" w:cs="宋体" w:hint="eastAsia"/>
          <w:b/>
          <w:bCs/>
          <w:szCs w:val="24"/>
          <w:highlight w:val="none"/>
        </w:rPr>
        <w:t>图12-</w:t>
      </w:r>
      <w:r>
        <w:rPr>
          <w:rFonts w:ascii="宋体" w:eastAsia="宋体" w:hAnsi="宋体" w:cs="宋体"/>
          <w:b/>
          <w:bCs/>
          <w:szCs w:val="24"/>
          <w:highlight w:val="none"/>
        </w:rPr>
        <w:t>5</w:t>
      </w:r>
      <w:r>
        <w:rPr>
          <w:rFonts w:ascii="宋体" w:eastAsia="宋体" w:hAnsi="宋体" w:cs="宋体" w:hint="eastAsia"/>
          <w:b/>
          <w:bCs/>
          <w:szCs w:val="24"/>
          <w:highlight w:val="none"/>
        </w:rPr>
        <w:t xml:space="preserve">  屋面支撑杆</w:t>
      </w:r>
      <w:bookmarkStart w:id="103" w:name="_Toc44873576"/>
      <w:bookmarkStart w:id="104" w:name="_Toc23917"/>
    </w:p>
    <w:p>
      <w:pPr>
        <w:pStyle w:val="Heading3"/>
        <w:spacing w:line="240" w:lineRule="auto"/>
        <w:ind w:firstLine="482"/>
        <w:rPr>
          <w:rFonts w:ascii="Times New Roman" w:eastAsia="宋体" w:hAnsi="Times New Roman" w:cstheme="majorEastAsia"/>
          <w:sz w:val="28"/>
          <w:szCs w:val="28"/>
          <w:highlight w:val="none"/>
        </w:rPr>
      </w:pPr>
      <w:bookmarkStart w:id="105" w:name="_Toc5635"/>
      <w:r>
        <w:rPr>
          <w:rFonts w:ascii="Times New Roman" w:eastAsia="宋体" w:hAnsi="Times New Roman" w:cstheme="majorEastAsia" w:hint="eastAsia"/>
          <w:sz w:val="28"/>
          <w:szCs w:val="28"/>
          <w:highlight w:val="none"/>
        </w:rPr>
        <w:t>二、智慧路灯杆</w:t>
      </w:r>
      <w:bookmarkEnd w:id="103"/>
      <w:r>
        <w:rPr>
          <w:rFonts w:ascii="Times New Roman" w:eastAsia="宋体" w:hAnsi="Times New Roman" w:cstheme="majorEastAsia" w:hint="eastAsia"/>
          <w:sz w:val="28"/>
          <w:szCs w:val="28"/>
          <w:highlight w:val="none"/>
        </w:rPr>
        <w:t>规划原则</w:t>
      </w:r>
      <w:bookmarkEnd w:id="104"/>
      <w:bookmarkEnd w:id="105"/>
    </w:p>
    <w:p>
      <w:pPr>
        <w:pStyle w:val="ListParagraph"/>
        <w:spacing w:line="360" w:lineRule="auto"/>
        <w:ind w:firstLine="480"/>
        <w:jc w:val="left"/>
        <w:rPr>
          <w:rFonts w:ascii="宋体" w:eastAsia="宋体" w:hAnsi="宋体" w:cs="宋体"/>
          <w:sz w:val="24"/>
          <w:szCs w:val="24"/>
          <w:highlight w:val="none"/>
        </w:rPr>
      </w:pPr>
      <w:r>
        <w:rPr>
          <w:rFonts w:ascii="宋体" w:eastAsia="宋体" w:hAnsi="宋体" w:cs="宋体" w:hint="eastAsia"/>
          <w:sz w:val="24"/>
          <w:szCs w:val="24"/>
          <w:highlight w:val="none"/>
        </w:rPr>
        <w:t>智慧路灯杆是物联网在城市中的重点应用领域，因智慧路灯具有通电、联网、分布广泛可渗入到城市的各个角落等特点，而被视为万物联网的必要基础设施，通过整合视频监控、多媒体信息屏、公共广播、环境监测等硬件功能，助力平安城市和智慧园区的建设。</w:t>
      </w:r>
    </w:p>
    <w:p>
      <w:pPr>
        <w:pStyle w:val="ListParagraph"/>
        <w:spacing w:before="120" w:after="60" w:line="360" w:lineRule="auto"/>
        <w:ind w:firstLine="482"/>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1、智慧路灯杆系统特点</w:t>
      </w:r>
    </w:p>
    <w:p>
      <w:pPr>
        <w:pStyle w:val="ListParagraph"/>
        <w:spacing w:line="360" w:lineRule="auto"/>
        <w:ind w:left="420" w:firstLine="0" w:leftChars="200" w:firstLineChars="0"/>
        <w:jc w:val="left"/>
        <w:rPr>
          <w:rFonts w:ascii="宋体" w:eastAsia="宋体" w:hAnsi="宋体" w:cs="宋体"/>
          <w:sz w:val="24"/>
          <w:szCs w:val="24"/>
          <w:highlight w:val="none"/>
        </w:rPr>
      </w:pPr>
      <w:r>
        <w:rPr>
          <w:rFonts w:ascii="宋体" w:eastAsia="宋体" w:hAnsi="宋体" w:cs="宋体" w:hint="eastAsia"/>
          <w:sz w:val="24"/>
          <w:szCs w:val="24"/>
          <w:highlight w:val="none"/>
        </w:rPr>
        <w:t xml:space="preserve">（1）功能模块化 </w:t>
      </w:r>
    </w:p>
    <w:p>
      <w:p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以智慧照明系统为基础功能，可选配备WIFI热点覆盖功能、摄像头模块、充电桩功能、4G/5G信号覆盖功能、物联网RFID以及信息发布功能等。灯杆采用模块化设计，各功能模块相互独立，预留安装孔位、供电模块、传输模块等。可以根据客户需要，按需组合、灵活配置，以适应不同的使用场景。</w:t>
      </w:r>
    </w:p>
    <w:p>
      <w:pPr>
        <w:pStyle w:val="ListParagraph"/>
        <w:spacing w:line="360" w:lineRule="auto"/>
        <w:ind w:left="420" w:firstLine="0" w:leftChars="200" w:firstLineChars="0"/>
        <w:jc w:val="left"/>
        <w:rPr>
          <w:rFonts w:ascii="宋体" w:eastAsia="宋体" w:hAnsi="宋体" w:cs="宋体"/>
          <w:sz w:val="24"/>
          <w:szCs w:val="24"/>
          <w:highlight w:val="none"/>
        </w:rPr>
      </w:pPr>
      <w:r>
        <w:rPr>
          <w:rFonts w:ascii="宋体" w:eastAsia="宋体" w:hAnsi="宋体" w:cs="宋体" w:hint="eastAsia"/>
          <w:sz w:val="24"/>
          <w:szCs w:val="24"/>
          <w:highlight w:val="none"/>
        </w:rPr>
        <w:t>（2）供电智能化</w:t>
      </w:r>
    </w:p>
    <w:p>
      <w:p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智慧灯杆各功能模块都有供电的需求，需要智慧灯杆系统配置工业级智能配电模块，支持电压、电流、功率自动检测，自带报警功能、过压超载熔断功能。</w:t>
      </w:r>
    </w:p>
    <w:p>
      <w:pPr>
        <w:pStyle w:val="ListParagraph"/>
        <w:spacing w:line="360" w:lineRule="auto"/>
        <w:ind w:left="420" w:firstLine="0" w:leftChars="200" w:firstLineChars="0"/>
        <w:jc w:val="left"/>
        <w:rPr>
          <w:rFonts w:ascii="宋体" w:eastAsia="宋体" w:hAnsi="宋体" w:cs="宋体"/>
          <w:sz w:val="24"/>
          <w:szCs w:val="24"/>
          <w:highlight w:val="none"/>
        </w:rPr>
      </w:pPr>
      <w:r>
        <w:rPr>
          <w:rFonts w:ascii="宋体" w:eastAsia="宋体" w:hAnsi="宋体" w:cs="宋体" w:hint="eastAsia"/>
          <w:sz w:val="24"/>
          <w:szCs w:val="24"/>
          <w:highlight w:val="none"/>
        </w:rPr>
        <w:t>（3）控制集中化</w:t>
      </w:r>
    </w:p>
    <w:p>
      <w:p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配合智慧灯杆运营平台，除可以对所有照明系统迚行集中控制之外，采用了ZigBee、电力线载波等通信方式，对充电桩、城市传感功能各功能模块之间进行互联，真正进入实现物物互联的时代。在运营平台上可以对这些功能单元的工作状态进行监控，并及时生成故障告警信息，大大降低了人工巡检成本，达到低成本快速响应的效果。</w:t>
      </w:r>
    </w:p>
    <w:p>
      <w:pPr>
        <w:pStyle w:val="ListParagraph"/>
        <w:spacing w:line="360" w:lineRule="auto"/>
        <w:ind w:left="420" w:firstLine="0" w:leftChars="200" w:firstLineChars="0"/>
        <w:jc w:val="left"/>
        <w:rPr>
          <w:rFonts w:ascii="宋体" w:eastAsia="宋体" w:hAnsi="宋体" w:cs="宋体"/>
          <w:sz w:val="24"/>
          <w:szCs w:val="24"/>
          <w:highlight w:val="none"/>
        </w:rPr>
      </w:pPr>
      <w:r>
        <w:rPr>
          <w:rFonts w:ascii="宋体" w:eastAsia="宋体" w:hAnsi="宋体" w:cs="宋体" w:hint="eastAsia"/>
          <w:sz w:val="24"/>
          <w:szCs w:val="24"/>
          <w:highlight w:val="none"/>
        </w:rPr>
        <w:t xml:space="preserve">（4）通信模式分层化 </w:t>
      </w:r>
    </w:p>
    <w:p>
      <w:p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对于传输信息量小的传输需求，如控制信息上报、状态采集等，采用</w:t>
      </w:r>
    </w:p>
    <w:p>
      <w:p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ZigBee或者WIFi等方式，对于视频监控、4G覆盖、WIFi覆盖等传输需求，采用4G/5G、GPON等高速率传输模式。</w:t>
      </w:r>
    </w:p>
    <w:p>
      <w:pPr>
        <w:pStyle w:val="ListParagraph"/>
        <w:spacing w:before="120" w:after="60" w:line="360" w:lineRule="auto"/>
        <w:ind w:firstLine="482"/>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2、组网架构</w:t>
      </w:r>
    </w:p>
    <w:p>
      <w:pPr>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智慧灯杆系统整体组网架构，分为三层，如下：</w:t>
      </w:r>
    </w:p>
    <w:p>
      <w:pPr>
        <w:pStyle w:val="a3"/>
        <w:ind w:firstLine="420"/>
        <w:rPr>
          <w:rFonts w:ascii="宋体" w:hAnsi="宋体"/>
          <w:szCs w:val="24"/>
          <w:highlight w:val="none"/>
        </w:rPr>
      </w:pPr>
      <w:r>
        <w:rPr>
          <w:rFonts w:ascii="宋体" w:hAnsi="宋体" w:hint="eastAsia"/>
          <w:szCs w:val="24"/>
          <w:highlight w:val="none"/>
        </w:rPr>
        <w:drawing>
          <wp:inline distT="0" distB="0" distL="0" distR="0">
            <wp:extent cx="5759450" cy="3005455"/>
            <wp:effectExtent l="0" t="0" r="0" b="4445"/>
            <wp:docPr id="20" name="图片 20" descr="智慧路灯杆组网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智慧路灯杆组网架构图"/>
                    <pic:cNvPicPr>
                      <a:picLocks noChangeAspect="1" noChangeArrowheads="1"/>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60000" cy="3005930"/>
                    </a:xfrm>
                    <a:prstGeom prst="rect">
                      <a:avLst/>
                    </a:prstGeom>
                    <a:noFill/>
                    <a:ln>
                      <a:noFill/>
                    </a:ln>
                  </pic:spPr>
                </pic:pic>
              </a:graphicData>
            </a:graphic>
          </wp:inline>
        </w:drawing>
      </w:r>
    </w:p>
    <w:p>
      <w:pPr>
        <w:pStyle w:val="a3"/>
        <w:ind w:firstLine="420"/>
        <w:rPr>
          <w:rFonts w:ascii="宋体" w:hAnsi="宋体"/>
          <w:b/>
          <w:bCs/>
          <w:sz w:val="21"/>
          <w:szCs w:val="21"/>
          <w:highlight w:val="none"/>
        </w:rPr>
      </w:pPr>
      <w:r>
        <w:rPr>
          <w:rFonts w:ascii="宋体" w:hAnsi="宋体" w:hint="eastAsia"/>
          <w:b/>
          <w:bCs/>
          <w:sz w:val="21"/>
          <w:szCs w:val="21"/>
          <w:highlight w:val="none"/>
        </w:rPr>
        <w:t>图12-</w:t>
      </w:r>
      <w:r>
        <w:rPr>
          <w:rFonts w:ascii="宋体" w:hAnsi="宋体"/>
          <w:b/>
          <w:bCs/>
          <w:sz w:val="21"/>
          <w:szCs w:val="21"/>
          <w:highlight w:val="none"/>
        </w:rPr>
        <w:t>6</w:t>
      </w:r>
      <w:r>
        <w:rPr>
          <w:rFonts w:ascii="宋体" w:hAnsi="宋体" w:hint="eastAsia"/>
          <w:b/>
          <w:bCs/>
          <w:sz w:val="21"/>
          <w:szCs w:val="21"/>
          <w:highlight w:val="none"/>
        </w:rPr>
        <w:t xml:space="preserve">  智慧灯杆系统框架结构</w:t>
      </w:r>
    </w:p>
    <w:p>
      <w:pPr>
        <w:pStyle w:val="a3"/>
        <w:ind w:firstLine="420"/>
        <w:rPr>
          <w:rFonts w:ascii="宋体" w:hAnsi="宋体"/>
          <w:b/>
          <w:bCs/>
          <w:sz w:val="21"/>
          <w:szCs w:val="21"/>
          <w:highlight w:val="none"/>
        </w:rPr>
      </w:pPr>
    </w:p>
    <w:p>
      <w:pPr>
        <w:spacing w:line="360" w:lineRule="auto"/>
        <w:ind w:firstLine="482"/>
        <w:rPr>
          <w:rFonts w:ascii="宋体" w:eastAsia="宋体" w:hAnsi="宋体" w:cs="宋体"/>
          <w:sz w:val="24"/>
          <w:szCs w:val="24"/>
          <w:highlight w:val="none"/>
        </w:rPr>
      </w:pPr>
      <w:r>
        <w:rPr>
          <w:rFonts w:ascii="宋体" w:eastAsia="宋体" w:hAnsi="宋体" w:cs="宋体" w:hint="eastAsia"/>
          <w:b/>
          <w:bCs/>
          <w:sz w:val="24"/>
          <w:szCs w:val="24"/>
          <w:highlight w:val="none"/>
        </w:rPr>
        <w:t>应用层:</w:t>
      </w:r>
      <w:r>
        <w:rPr>
          <w:rFonts w:ascii="宋体" w:eastAsia="宋体" w:hAnsi="宋体" w:cs="宋体" w:hint="eastAsia"/>
          <w:sz w:val="24"/>
          <w:szCs w:val="24"/>
          <w:highlight w:val="none"/>
        </w:rPr>
        <w:t>环境传感感知、GPS融合处理不大数据分析挖掘等技术的联合运作模式 。</w:t>
      </w:r>
    </w:p>
    <w:p>
      <w:pPr>
        <w:spacing w:line="360" w:lineRule="auto"/>
        <w:ind w:firstLine="482"/>
        <w:rPr>
          <w:rFonts w:ascii="宋体" w:eastAsia="宋体" w:hAnsi="宋体" w:cs="宋体"/>
          <w:sz w:val="24"/>
          <w:szCs w:val="24"/>
          <w:highlight w:val="none"/>
        </w:rPr>
      </w:pPr>
      <w:r>
        <w:rPr>
          <w:rFonts w:ascii="宋体" w:eastAsia="宋体" w:hAnsi="宋体" w:cs="宋体" w:hint="eastAsia"/>
          <w:b/>
          <w:bCs/>
          <w:sz w:val="24"/>
          <w:szCs w:val="24"/>
          <w:highlight w:val="none"/>
        </w:rPr>
        <w:t>网络层:</w:t>
      </w:r>
      <w:r>
        <w:rPr>
          <w:rFonts w:ascii="宋体" w:eastAsia="宋体" w:hAnsi="宋体" w:cs="宋体" w:hint="eastAsia"/>
          <w:sz w:val="24"/>
          <w:szCs w:val="24"/>
          <w:highlight w:val="none"/>
        </w:rPr>
        <w:t xml:space="preserve">以太网络标准协议为基础，EPON/GPON、4G/5G、WIFi、ZigBee等多种技术融合。 </w:t>
      </w:r>
    </w:p>
    <w:p>
      <w:pPr>
        <w:spacing w:line="360" w:lineRule="auto"/>
        <w:ind w:firstLine="482"/>
        <w:rPr>
          <w:rFonts w:ascii="宋体" w:eastAsia="宋体" w:hAnsi="宋体" w:cs="宋体"/>
          <w:sz w:val="24"/>
          <w:szCs w:val="24"/>
          <w:highlight w:val="none"/>
        </w:rPr>
      </w:pPr>
      <w:r>
        <w:rPr>
          <w:rFonts w:ascii="宋体" w:eastAsia="宋体" w:hAnsi="宋体" w:cs="宋体" w:hint="eastAsia"/>
          <w:b/>
          <w:bCs/>
          <w:sz w:val="24"/>
          <w:szCs w:val="24"/>
          <w:highlight w:val="none"/>
        </w:rPr>
        <w:t>终端层:</w:t>
      </w:r>
      <w:r>
        <w:rPr>
          <w:rFonts w:ascii="宋体" w:eastAsia="宋体" w:hAnsi="宋体" w:cs="宋体" w:hint="eastAsia"/>
          <w:sz w:val="24"/>
          <w:szCs w:val="24"/>
          <w:highlight w:val="none"/>
        </w:rPr>
        <w:t>终端设备协议统一，实现底层互联互通。</w:t>
      </w:r>
    </w:p>
    <w:p>
      <w:pPr>
        <w:pStyle w:val="ListParagraph"/>
        <w:spacing w:before="120" w:after="60" w:line="360" w:lineRule="auto"/>
        <w:ind w:firstLine="482"/>
        <w:jc w:val="left"/>
        <w:rPr>
          <w:rFonts w:ascii="宋体" w:eastAsia="宋体" w:hAnsi="宋体" w:cs="宋体"/>
          <w:b/>
          <w:bCs/>
          <w:sz w:val="24"/>
          <w:szCs w:val="24"/>
          <w:highlight w:val="none"/>
        </w:rPr>
      </w:pPr>
      <w:r>
        <w:rPr>
          <w:rFonts w:ascii="宋体" w:eastAsia="宋体" w:hAnsi="宋体" w:cs="宋体" w:hint="eastAsia"/>
          <w:b/>
          <w:bCs/>
          <w:sz w:val="24"/>
          <w:szCs w:val="24"/>
          <w:highlight w:val="none"/>
        </w:rPr>
        <w:t>3、智慧路灯杆功能组成</w:t>
      </w:r>
    </w:p>
    <w:p>
      <w:pPr>
        <w:pStyle w:val="a3"/>
        <w:ind w:firstLine="420"/>
        <w:rPr>
          <w:rFonts w:ascii="宋体" w:hAnsi="宋体"/>
          <w:highlight w:val="none"/>
        </w:rPr>
      </w:pPr>
      <w:r>
        <w:rPr>
          <w:rFonts w:ascii="宋体" w:hAnsi="宋体" w:hint="eastAsia"/>
          <w:highlight w:val="none"/>
        </w:rPr>
        <w:drawing>
          <wp:inline distT="0" distB="0" distL="0" distR="0">
            <wp:extent cx="5622290" cy="2811145"/>
            <wp:effectExtent l="0" t="0" r="1651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rcRect t="3562" b="1438"/>
                    <a:stretch>
                      <a:fillRect/>
                    </a:stretch>
                  </pic:blipFill>
                  <pic:spPr>
                    <a:xfrm>
                      <a:off x="0" y="0"/>
                      <a:ext cx="5766791" cy="2811145"/>
                    </a:xfrm>
                    <a:prstGeom prst="rect">
                      <a:avLst/>
                    </a:prstGeom>
                    <a:noFill/>
                    <a:ln>
                      <a:noFill/>
                    </a:ln>
                  </pic:spPr>
                </pic:pic>
              </a:graphicData>
            </a:graphic>
          </wp:inline>
        </w:drawing>
      </w:r>
    </w:p>
    <w:p>
      <w:pPr>
        <w:spacing w:line="360" w:lineRule="auto"/>
        <w:ind w:firstLine="480"/>
        <w:jc w:val="center"/>
        <w:rPr>
          <w:rFonts w:ascii="宋体" w:eastAsia="宋体" w:hAnsi="宋体" w:cs="宋体"/>
          <w:b/>
          <w:bCs/>
          <w:szCs w:val="21"/>
          <w:highlight w:val="none"/>
        </w:rPr>
      </w:pPr>
      <w:r>
        <w:rPr>
          <w:rFonts w:ascii="宋体" w:eastAsia="宋体" w:hAnsi="宋体" w:cs="宋体" w:hint="eastAsia"/>
          <w:b/>
          <w:bCs/>
          <w:szCs w:val="21"/>
          <w:highlight w:val="none"/>
        </w:rPr>
        <w:t>图12-</w:t>
      </w:r>
      <w:r>
        <w:rPr>
          <w:rFonts w:ascii="宋体" w:eastAsia="宋体" w:hAnsi="宋体" w:cs="宋体"/>
          <w:b/>
          <w:bCs/>
          <w:szCs w:val="21"/>
          <w:highlight w:val="none"/>
        </w:rPr>
        <w:t>7</w:t>
      </w:r>
      <w:r>
        <w:rPr>
          <w:rFonts w:ascii="宋体" w:eastAsia="宋体" w:hAnsi="宋体" w:cs="宋体" w:hint="eastAsia"/>
          <w:b/>
          <w:bCs/>
          <w:szCs w:val="21"/>
          <w:highlight w:val="none"/>
        </w:rPr>
        <w:t xml:space="preserve">  智慧灯杆系统功能图</w:t>
      </w:r>
    </w:p>
    <w:p>
      <w:pPr>
        <w:spacing w:line="360" w:lineRule="auto"/>
        <w:ind w:firstLine="480"/>
        <w:jc w:val="center"/>
        <w:rPr>
          <w:rFonts w:ascii="宋体" w:eastAsia="宋体" w:hAnsi="宋体" w:cs="宋体"/>
          <w:b/>
          <w:bCs/>
          <w:szCs w:val="21"/>
          <w:highlight w:val="none"/>
        </w:rPr>
      </w:pPr>
    </w:p>
    <w:p>
      <w:pPr>
        <w:jc w:val="center"/>
        <w:rPr>
          <w:rFonts w:ascii="Times New Roman" w:eastAsia="宋体" w:hAnsi="Times New Roman"/>
          <w:highlight w:val="none"/>
        </w:rPr>
      </w:pPr>
      <w:r>
        <w:rPr>
          <w:highlight w:val="none"/>
        </w:rPr>
        <w:drawing>
          <wp:inline distT="0" distB="0" distL="114300" distR="114300">
            <wp:extent cx="3523615" cy="3923665"/>
            <wp:effectExtent l="0" t="0" r="635" b="63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xmlns:r="http://schemas.openxmlformats.org/officeDocument/2006/relationships" r:embed="rId72"/>
                    <a:stretch>
                      <a:fillRect/>
                    </a:stretch>
                  </pic:blipFill>
                  <pic:spPr>
                    <a:xfrm>
                      <a:off x="0" y="0"/>
                      <a:ext cx="3523615" cy="3923665"/>
                    </a:xfrm>
                    <a:prstGeom prst="rect">
                      <a:avLst/>
                    </a:prstGeom>
                    <a:noFill/>
                    <a:ln>
                      <a:noFill/>
                    </a:ln>
                  </pic:spPr>
                </pic:pic>
              </a:graphicData>
            </a:graphic>
          </wp:inline>
        </w:drawing>
      </w:r>
    </w:p>
    <w:p>
      <w:pPr>
        <w:rPr>
          <w:rFonts w:ascii="Times New Roman" w:eastAsia="宋体" w:hAnsi="Times New Roman"/>
          <w:highlight w:val="none"/>
        </w:rPr>
      </w:pPr>
    </w:p>
    <w:p>
      <w:pPr>
        <w:jc w:val="center"/>
        <w:rPr>
          <w:rFonts w:ascii="Times New Roman" w:eastAsia="宋体" w:hAnsi="Times New Roman"/>
          <w:b/>
          <w:bCs/>
          <w:highlight w:val="none"/>
        </w:rPr>
      </w:pPr>
      <w:r>
        <w:rPr>
          <w:rFonts w:ascii="Times New Roman" w:eastAsia="宋体" w:hAnsi="Times New Roman" w:hint="eastAsia"/>
          <w:b/>
          <w:bCs/>
          <w:highlight w:val="none"/>
        </w:rPr>
        <w:t>图12-</w:t>
      </w:r>
      <w:r>
        <w:rPr>
          <w:rFonts w:ascii="Times New Roman" w:eastAsia="宋体" w:hAnsi="Times New Roman"/>
          <w:b/>
          <w:bCs/>
          <w:highlight w:val="none"/>
        </w:rPr>
        <w:t>8</w:t>
      </w:r>
      <w:r>
        <w:rPr>
          <w:rFonts w:ascii="Times New Roman" w:eastAsia="宋体" w:hAnsi="Times New Roman" w:hint="eastAsia"/>
          <w:b/>
          <w:bCs/>
          <w:highlight w:val="none"/>
        </w:rPr>
        <w:t xml:space="preserve">  多功能灯杆（4-10米）</w:t>
      </w:r>
    </w:p>
    <w:p>
      <w:pPr>
        <w:jc w:val="center"/>
        <w:rPr>
          <w:rFonts w:ascii="Times New Roman" w:eastAsia="宋体" w:hAnsi="Times New Roman"/>
          <w:highlight w:val="none"/>
        </w:rPr>
      </w:pPr>
      <w:r>
        <w:rPr>
          <w:highlight w:val="none"/>
        </w:rPr>
        <w:drawing>
          <wp:inline distT="0" distB="0" distL="114300" distR="114300">
            <wp:extent cx="4592955" cy="5638800"/>
            <wp:effectExtent l="0" t="0" r="17145" b="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xmlns:r="http://schemas.openxmlformats.org/officeDocument/2006/relationships" r:embed="rId73"/>
                    <a:stretch>
                      <a:fillRect/>
                    </a:stretch>
                  </pic:blipFill>
                  <pic:spPr>
                    <a:xfrm>
                      <a:off x="0" y="0"/>
                      <a:ext cx="4592955" cy="5638800"/>
                    </a:xfrm>
                    <a:prstGeom prst="rect">
                      <a:avLst/>
                    </a:prstGeom>
                    <a:noFill/>
                    <a:ln>
                      <a:noFill/>
                    </a:ln>
                  </pic:spPr>
                </pic:pic>
              </a:graphicData>
            </a:graphic>
          </wp:inline>
        </w:drawing>
      </w:r>
    </w:p>
    <w:p>
      <w:pPr>
        <w:jc w:val="center"/>
        <w:rPr>
          <w:rFonts w:ascii="Times New Roman" w:eastAsia="宋体" w:hAnsi="Times New Roman"/>
          <w:highlight w:val="none"/>
        </w:rPr>
      </w:pPr>
      <w:r>
        <w:rPr>
          <w:rFonts w:ascii="Times New Roman" w:eastAsia="宋体" w:hAnsi="Times New Roman" w:hint="eastAsia"/>
          <w:b/>
          <w:bCs/>
          <w:highlight w:val="none"/>
        </w:rPr>
        <w:t>图12-</w:t>
      </w:r>
      <w:r>
        <w:rPr>
          <w:rFonts w:ascii="Times New Roman" w:eastAsia="宋体" w:hAnsi="Times New Roman"/>
          <w:b/>
          <w:bCs/>
          <w:highlight w:val="none"/>
        </w:rPr>
        <w:t>9</w:t>
      </w:r>
      <w:r>
        <w:rPr>
          <w:rFonts w:ascii="Times New Roman" w:eastAsia="宋体" w:hAnsi="Times New Roman" w:hint="eastAsia"/>
          <w:b/>
          <w:bCs/>
          <w:highlight w:val="none"/>
        </w:rPr>
        <w:t xml:space="preserve">  多功能灯杆（12-15米）</w:t>
      </w:r>
    </w:p>
    <w:p>
      <w:pPr>
        <w:spacing w:line="360" w:lineRule="auto"/>
        <w:jc w:val="center"/>
        <w:rPr>
          <w:rFonts w:ascii="宋体" w:eastAsia="宋体" w:hAnsi="宋体" w:cs="宋体"/>
          <w:highlight w:val="none"/>
        </w:rPr>
      </w:pPr>
      <w:r>
        <w:rPr>
          <w:rFonts w:ascii="宋体" w:eastAsia="宋体" w:hAnsi="宋体" w:cs="宋体" w:hint="eastAsia"/>
          <w:highlight w:val="none"/>
        </w:rPr>
        <w:drawing>
          <wp:inline distT="0" distB="0" distL="0" distR="0">
            <wp:extent cx="5996305" cy="5723890"/>
            <wp:effectExtent l="0" t="0" r="4445" b="0"/>
            <wp:docPr id="30722" name="Picture 2" descr="I:\1规范材料\智慧灯杆规范材料\智慧灯杆功能集成图\智慧灯杆功能集成图v1.1（自制，适用白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I:\1规范材料\智慧灯杆规范材料\智慧灯杆功能集成图\智慧灯杆功能集成图v1.1（自制，适用白底）.png"/>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a:xfrm>
                      <a:off x="0" y="0"/>
                      <a:ext cx="6003394" cy="5730474"/>
                    </a:xfrm>
                    <a:prstGeom prst="rect">
                      <a:avLst/>
                    </a:prstGeom>
                    <a:noFill/>
                  </pic:spPr>
                </pic:pic>
              </a:graphicData>
            </a:graphic>
          </wp:inline>
        </w:drawing>
      </w:r>
    </w:p>
    <w:p>
      <w:pPr>
        <w:spacing w:line="360" w:lineRule="auto"/>
        <w:jc w:val="center"/>
        <w:rPr>
          <w:rFonts w:ascii="宋体" w:eastAsia="宋体" w:hAnsi="宋体" w:cs="宋体"/>
          <w:b/>
          <w:bCs/>
          <w:highlight w:val="none"/>
        </w:rPr>
      </w:pPr>
      <w:r>
        <w:rPr>
          <w:rFonts w:ascii="宋体" w:eastAsia="宋体" w:hAnsi="宋体" w:cs="宋体" w:hint="eastAsia"/>
          <w:b/>
          <w:bCs/>
          <w:highlight w:val="none"/>
        </w:rPr>
        <w:t>图12-</w:t>
      </w:r>
      <w:r>
        <w:rPr>
          <w:rFonts w:ascii="宋体" w:eastAsia="宋体" w:hAnsi="宋体" w:cs="宋体"/>
          <w:b/>
          <w:bCs/>
          <w:highlight w:val="none"/>
        </w:rPr>
        <w:t>10</w:t>
      </w:r>
      <w:r>
        <w:rPr>
          <w:rFonts w:ascii="宋体" w:eastAsia="宋体" w:hAnsi="宋体" w:cs="宋体" w:hint="eastAsia"/>
          <w:b/>
          <w:bCs/>
          <w:highlight w:val="none"/>
        </w:rPr>
        <w:t xml:space="preserve">  智慧灯杆</w:t>
      </w:r>
    </w:p>
    <w:p>
      <w:pPr>
        <w:spacing w:line="360" w:lineRule="auto"/>
        <w:ind w:firstLine="420"/>
        <w:rPr>
          <w:rFonts w:ascii="宋体" w:eastAsia="宋体" w:hAnsi="宋体" w:cs="宋体"/>
          <w:highlight w:val="none"/>
        </w:rPr>
      </w:pPr>
    </w:p>
    <w:p>
      <w:pPr>
        <w:pStyle w:val="Heading3"/>
        <w:spacing w:line="360" w:lineRule="auto"/>
        <w:ind w:firstLine="482"/>
        <w:rPr>
          <w:rFonts w:ascii="宋体" w:eastAsia="宋体" w:hAnsi="宋体" w:cs="宋体"/>
          <w:sz w:val="24"/>
          <w:szCs w:val="24"/>
          <w:highlight w:val="none"/>
        </w:rPr>
      </w:pPr>
      <w:bookmarkStart w:id="106" w:name="_Toc22927"/>
      <w:bookmarkStart w:id="107" w:name="_Toc3888"/>
      <w:r>
        <w:rPr>
          <w:rFonts w:ascii="宋体" w:eastAsia="宋体" w:hAnsi="宋体" w:cs="宋体" w:hint="eastAsia"/>
          <w:sz w:val="28"/>
          <w:szCs w:val="28"/>
          <w:highlight w:val="none"/>
        </w:rPr>
        <w:t>三、机房及配套规划原则</w:t>
      </w:r>
      <w:bookmarkEnd w:id="106"/>
      <w:bookmarkEnd w:id="107"/>
    </w:p>
    <w:p>
      <w:pPr>
        <w:widowControl/>
        <w:spacing w:line="360" w:lineRule="auto"/>
        <w:ind w:firstLine="480"/>
        <w:rPr>
          <w:rFonts w:ascii="宋体" w:eastAsia="宋体" w:hAnsi="宋体" w:cs="宋体"/>
          <w:sz w:val="24"/>
          <w:highlight w:val="none"/>
        </w:rPr>
      </w:pPr>
      <w:bookmarkStart w:id="108" w:name="_Toc6575267"/>
      <w:r>
        <w:rPr>
          <w:rFonts w:ascii="宋体" w:eastAsia="宋体" w:hAnsi="宋体" w:cs="宋体" w:hint="eastAsia"/>
          <w:sz w:val="24"/>
          <w:highlight w:val="none"/>
        </w:rPr>
        <w:t>1、机房选型原则</w:t>
      </w:r>
      <w:bookmarkEnd w:id="108"/>
    </w:p>
    <w:p>
      <w:pPr>
        <w:pStyle w:val="Body"/>
        <w:ind w:right="0" w:firstLine="480"/>
        <w:rPr>
          <w:rFonts w:ascii="宋体" w:hAnsi="宋体" w:cs="宋体"/>
          <w:color w:val="auto"/>
          <w:highlight w:val="none"/>
        </w:rPr>
      </w:pPr>
      <w:r>
        <w:rPr>
          <w:rFonts w:ascii="宋体" w:hAnsi="宋体" w:cs="宋体" w:hint="eastAsia"/>
          <w:color w:val="auto"/>
          <w:highlight w:val="none"/>
        </w:rPr>
        <w:t>按建设形式，主要有以下几种机房型：砖混机房、彩钢板机房、室外一体化机柜、铝合金机房、美化机房等。</w:t>
      </w:r>
    </w:p>
    <w:p>
      <w:pPr>
        <w:pStyle w:val="Body"/>
        <w:ind w:right="0" w:firstLine="480"/>
        <w:rPr>
          <w:rFonts w:ascii="宋体" w:hAnsi="宋体" w:cs="宋体"/>
          <w:color w:val="auto"/>
          <w:highlight w:val="none"/>
        </w:rPr>
      </w:pPr>
      <w:r>
        <w:rPr>
          <w:rFonts w:ascii="宋体" w:hAnsi="宋体" w:cs="宋体" w:hint="eastAsia"/>
          <w:color w:val="auto"/>
          <w:highlight w:val="none"/>
        </w:rPr>
        <w:t>机房选型应综合考虑客户需求、建设场景、机房类型特点以及后期扩容等因素，重点聚焦当期的建设成本和建设周期，以及长期的运维成本，做到实用、经济。</w:t>
      </w:r>
    </w:p>
    <w:p>
      <w:pPr>
        <w:pStyle w:val="Body"/>
        <w:spacing w:after="0"/>
        <w:ind w:right="0" w:firstLine="480"/>
        <w:jc w:val="center"/>
        <w:rPr>
          <w:rFonts w:ascii="宋体" w:hAnsi="宋体" w:cs="宋体"/>
          <w:b/>
          <w:bCs/>
          <w:color w:val="auto"/>
          <w:sz w:val="21"/>
          <w:szCs w:val="21"/>
          <w:highlight w:val="none"/>
        </w:rPr>
      </w:pPr>
      <w:r>
        <w:rPr>
          <w:rFonts w:ascii="宋体" w:hAnsi="宋体" w:cs="宋体" w:hint="eastAsia"/>
          <w:b/>
          <w:bCs/>
          <w:color w:val="auto"/>
          <w:sz w:val="21"/>
          <w:szCs w:val="21"/>
          <w:highlight w:val="none"/>
        </w:rPr>
        <w:t>表12-1  机房选型表</w:t>
      </w:r>
    </w:p>
    <w:tbl>
      <w:tblPr>
        <w:tblStyle w:val="TableNormal"/>
        <w:tblW w:w="463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83"/>
        <w:gridCol w:w="3395"/>
        <w:gridCol w:w="2625"/>
        <w:gridCol w:w="2594"/>
      </w:tblGrid>
      <w:tr>
        <w:tblPrEx>
          <w:tblW w:w="463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37"/>
        </w:trPr>
        <w:tc>
          <w:tcPr>
            <w:tcW w:w="367" w:type="pct"/>
            <w:shd w:val="clear" w:color="auto" w:fill="auto"/>
            <w:vAlign w:val="center"/>
          </w:tcPr>
          <w:p>
            <w:pPr>
              <w:widowControl/>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序号</w:t>
            </w:r>
          </w:p>
        </w:tc>
        <w:tc>
          <w:tcPr>
            <w:tcW w:w="1826" w:type="pct"/>
            <w:shd w:val="clear" w:color="auto" w:fill="auto"/>
            <w:vAlign w:val="center"/>
          </w:tcPr>
          <w:p>
            <w:pPr>
              <w:widowControl/>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典型场景</w:t>
            </w:r>
          </w:p>
        </w:tc>
        <w:tc>
          <w:tcPr>
            <w:tcW w:w="1412" w:type="pct"/>
            <w:shd w:val="clear" w:color="auto" w:fill="auto"/>
            <w:vAlign w:val="center"/>
          </w:tcPr>
          <w:p>
            <w:pPr>
              <w:widowControl/>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第一方案</w:t>
            </w:r>
          </w:p>
        </w:tc>
        <w:tc>
          <w:tcPr>
            <w:tcW w:w="1395" w:type="pct"/>
            <w:shd w:val="clear" w:color="auto" w:fill="auto"/>
            <w:vAlign w:val="center"/>
          </w:tcPr>
          <w:p>
            <w:pPr>
              <w:widowControl/>
              <w:spacing w:line="360" w:lineRule="auto"/>
              <w:jc w:val="center"/>
              <w:rPr>
                <w:rFonts w:ascii="宋体" w:eastAsia="宋体" w:hAnsi="宋体" w:cs="宋体"/>
                <w:b/>
                <w:bCs/>
                <w:szCs w:val="21"/>
                <w:highlight w:val="none"/>
              </w:rPr>
            </w:pPr>
            <w:r>
              <w:rPr>
                <w:rFonts w:ascii="宋体" w:eastAsia="宋体" w:hAnsi="宋体" w:cs="宋体" w:hint="eastAsia"/>
                <w:b/>
                <w:bCs/>
                <w:szCs w:val="21"/>
                <w:highlight w:val="none"/>
              </w:rPr>
              <w:t>第二方案</w:t>
            </w:r>
          </w:p>
        </w:tc>
      </w:tr>
      <w:tr>
        <w:tblPrEx>
          <w:tblW w:w="4631" w:type="pct"/>
          <w:tblInd w:w="250" w:type="dxa"/>
          <w:tblCellMar>
            <w:top w:w="0" w:type="dxa"/>
            <w:left w:w="108" w:type="dxa"/>
            <w:bottom w:w="0" w:type="dxa"/>
            <w:right w:w="108" w:type="dxa"/>
          </w:tblCellMar>
        </w:tblPrEx>
        <w:trPr>
          <w:trHeight w:val="400"/>
        </w:trPr>
        <w:tc>
          <w:tcPr>
            <w:tcW w:w="367"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1</w:t>
            </w:r>
          </w:p>
        </w:tc>
        <w:tc>
          <w:tcPr>
            <w:tcW w:w="1826"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征地容易的区域优先考虑防盗要求</w:t>
            </w:r>
          </w:p>
        </w:tc>
        <w:tc>
          <w:tcPr>
            <w:tcW w:w="1412"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砖混机房</w:t>
            </w:r>
          </w:p>
        </w:tc>
        <w:tc>
          <w:tcPr>
            <w:tcW w:w="1395"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地面室外站一体化机柜</w:t>
            </w:r>
          </w:p>
        </w:tc>
      </w:tr>
      <w:tr>
        <w:tblPrEx>
          <w:tblW w:w="4631" w:type="pct"/>
          <w:tblInd w:w="250" w:type="dxa"/>
          <w:tblCellMar>
            <w:top w:w="0" w:type="dxa"/>
            <w:left w:w="108" w:type="dxa"/>
            <w:bottom w:w="0" w:type="dxa"/>
            <w:right w:w="108" w:type="dxa"/>
          </w:tblCellMar>
        </w:tblPrEx>
        <w:trPr>
          <w:trHeight w:val="578"/>
        </w:trPr>
        <w:tc>
          <w:tcPr>
            <w:tcW w:w="367"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2</w:t>
            </w:r>
          </w:p>
        </w:tc>
        <w:tc>
          <w:tcPr>
            <w:tcW w:w="1826"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征地容易的区域优先考虑控制投资或快速建站</w:t>
            </w:r>
          </w:p>
        </w:tc>
        <w:tc>
          <w:tcPr>
            <w:tcW w:w="1412"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彩钢板机房</w:t>
            </w:r>
          </w:p>
        </w:tc>
        <w:tc>
          <w:tcPr>
            <w:tcW w:w="1395"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地面室外站一体化机柜</w:t>
            </w:r>
          </w:p>
        </w:tc>
      </w:tr>
      <w:tr>
        <w:tblPrEx>
          <w:tblW w:w="4631" w:type="pct"/>
          <w:tblInd w:w="250" w:type="dxa"/>
          <w:tblCellMar>
            <w:top w:w="0" w:type="dxa"/>
            <w:left w:w="108" w:type="dxa"/>
            <w:bottom w:w="0" w:type="dxa"/>
            <w:right w:w="108" w:type="dxa"/>
          </w:tblCellMar>
        </w:tblPrEx>
        <w:trPr>
          <w:trHeight w:val="578"/>
        </w:trPr>
        <w:tc>
          <w:tcPr>
            <w:tcW w:w="367"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3</w:t>
            </w:r>
          </w:p>
        </w:tc>
        <w:tc>
          <w:tcPr>
            <w:tcW w:w="1826"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征地困难的区域</w:t>
            </w:r>
          </w:p>
        </w:tc>
        <w:tc>
          <w:tcPr>
            <w:tcW w:w="1412"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地面室外站一体化机柜</w:t>
            </w:r>
          </w:p>
        </w:tc>
        <w:tc>
          <w:tcPr>
            <w:tcW w:w="1395"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地面室外站一体化机柜+美化外罩</w:t>
            </w:r>
          </w:p>
        </w:tc>
      </w:tr>
      <w:tr>
        <w:tblPrEx>
          <w:tblW w:w="4631" w:type="pct"/>
          <w:tblInd w:w="250" w:type="dxa"/>
          <w:tblCellMar>
            <w:top w:w="0" w:type="dxa"/>
            <w:left w:w="108" w:type="dxa"/>
            <w:bottom w:w="0" w:type="dxa"/>
            <w:right w:w="108" w:type="dxa"/>
          </w:tblCellMar>
        </w:tblPrEx>
        <w:trPr>
          <w:trHeight w:val="669"/>
        </w:trPr>
        <w:tc>
          <w:tcPr>
            <w:tcW w:w="367"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4</w:t>
            </w:r>
          </w:p>
        </w:tc>
        <w:tc>
          <w:tcPr>
            <w:tcW w:w="1826"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广场、公园、景区等敏感区域</w:t>
            </w:r>
          </w:p>
        </w:tc>
        <w:tc>
          <w:tcPr>
            <w:tcW w:w="1412"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美化机房</w:t>
            </w:r>
          </w:p>
        </w:tc>
        <w:tc>
          <w:tcPr>
            <w:tcW w:w="1395" w:type="pct"/>
            <w:shd w:val="clear" w:color="auto" w:fill="auto"/>
            <w:vAlign w:val="center"/>
          </w:tcPr>
          <w:p>
            <w:pPr>
              <w:widowControl/>
              <w:spacing w:line="360" w:lineRule="auto"/>
              <w:jc w:val="center"/>
              <w:rPr>
                <w:rFonts w:ascii="宋体" w:eastAsia="宋体" w:hAnsi="宋体" w:cs="宋体"/>
                <w:szCs w:val="21"/>
                <w:highlight w:val="none"/>
              </w:rPr>
            </w:pPr>
            <w:r>
              <w:rPr>
                <w:rFonts w:ascii="宋体" w:eastAsia="宋体" w:hAnsi="宋体" w:cs="宋体" w:hint="eastAsia"/>
                <w:szCs w:val="21"/>
                <w:highlight w:val="none"/>
              </w:rPr>
              <w:t>地面室外站一体化机柜+美化外罩</w:t>
            </w:r>
          </w:p>
        </w:tc>
      </w:tr>
    </w:tbl>
    <w:p>
      <w:pPr>
        <w:widowControl/>
        <w:spacing w:line="360" w:lineRule="auto"/>
        <w:ind w:firstLine="480"/>
        <w:rPr>
          <w:rFonts w:ascii="宋体" w:eastAsia="宋体" w:hAnsi="宋体" w:cs="宋体"/>
          <w:sz w:val="24"/>
          <w:highlight w:val="none"/>
        </w:rPr>
      </w:pPr>
      <w:bookmarkStart w:id="109" w:name="_Toc6575268"/>
    </w:p>
    <w:p>
      <w:pPr>
        <w:widowControl/>
        <w:spacing w:line="360" w:lineRule="auto"/>
        <w:ind w:firstLine="480"/>
        <w:rPr>
          <w:rFonts w:ascii="宋体" w:eastAsia="宋体" w:hAnsi="宋体" w:cs="宋体"/>
          <w:sz w:val="24"/>
          <w:highlight w:val="none"/>
        </w:rPr>
      </w:pPr>
      <w:r>
        <w:rPr>
          <w:rFonts w:ascii="宋体" w:eastAsia="宋体" w:hAnsi="宋体" w:cs="宋体" w:hint="eastAsia"/>
          <w:sz w:val="24"/>
          <w:highlight w:val="none"/>
        </w:rPr>
        <w:t>2、后备保障原则</w:t>
      </w:r>
      <w:bookmarkEnd w:id="109"/>
    </w:p>
    <w:p>
      <w:pPr>
        <w:pStyle w:val="Body"/>
        <w:ind w:right="0" w:firstLine="480"/>
        <w:rPr>
          <w:rFonts w:ascii="宋体" w:hAnsi="宋体" w:cs="宋体"/>
          <w:color w:val="auto"/>
          <w:highlight w:val="none"/>
        </w:rPr>
      </w:pPr>
      <w:r>
        <w:rPr>
          <w:rFonts w:ascii="宋体" w:hAnsi="宋体" w:cs="宋体" w:hint="eastAsia"/>
          <w:color w:val="auto"/>
          <w:highlight w:val="none"/>
        </w:rPr>
        <w:t>维护队伍较易到达区域基站建议采用蓄电池组+移动发电机组保障方式，偏远区域可选择蓄电池+移动发电机组或固定发电机组保障方式。</w:t>
      </w:r>
    </w:p>
    <w:p>
      <w:pPr>
        <w:pStyle w:val="Body"/>
        <w:ind w:right="0" w:firstLine="480"/>
        <w:rPr>
          <w:rFonts w:ascii="宋体" w:hAnsi="宋体" w:cs="宋体"/>
          <w:color w:val="auto"/>
          <w:highlight w:val="none"/>
        </w:rPr>
      </w:pPr>
      <w:r>
        <w:rPr>
          <w:rFonts w:ascii="宋体" w:hAnsi="宋体" w:cs="宋体" w:hint="eastAsia"/>
          <w:color w:val="auto"/>
          <w:highlight w:val="none"/>
        </w:rPr>
        <w:t>新建基站蓄电池组后备时间应结合基站重要性、市电可靠性、运维能力、机房条件等因素确定，可根据平均断电时长、应急保障到位时间等因素进行调整。受交通、气候、人为阻挠等影响，导致不能及时发电保障的基站，可适当增加蓄电池组容量。农网、离网型市电的基站，可适当增加蓄电池组容量或储油箱容量。</w:t>
      </w:r>
    </w:p>
    <w:p>
      <w:pPr>
        <w:pStyle w:val="Body"/>
        <w:ind w:right="0" w:firstLine="480"/>
        <w:rPr>
          <w:rFonts w:ascii="宋体" w:hAnsi="宋体" w:cs="宋体"/>
          <w:color w:val="auto"/>
          <w:highlight w:val="none"/>
        </w:rPr>
      </w:pPr>
    </w:p>
    <w:p>
      <w:pPr>
        <w:pStyle w:val="Heading3"/>
        <w:spacing w:line="360" w:lineRule="auto"/>
        <w:ind w:firstLine="482"/>
        <w:rPr>
          <w:rFonts w:ascii="宋体" w:eastAsia="宋体" w:hAnsi="宋体" w:cs="宋体"/>
          <w:sz w:val="28"/>
          <w:szCs w:val="28"/>
          <w:highlight w:val="none"/>
        </w:rPr>
      </w:pPr>
      <w:bookmarkStart w:id="110" w:name="_Toc11331"/>
      <w:r>
        <w:rPr>
          <w:rFonts w:ascii="宋体" w:eastAsia="宋体" w:hAnsi="宋体" w:cs="宋体" w:hint="eastAsia"/>
          <w:sz w:val="28"/>
          <w:szCs w:val="28"/>
          <w:highlight w:val="none"/>
        </w:rPr>
        <w:t>四、存量站址整改的规划原则内容</w:t>
      </w:r>
      <w:bookmarkEnd w:id="110"/>
    </w:p>
    <w:p>
      <w:pPr>
        <w:pStyle w:val="Body"/>
        <w:ind w:firstLine="480"/>
        <w:rPr>
          <w:highlight w:val="none"/>
        </w:rPr>
      </w:pPr>
      <w:r>
        <w:rPr>
          <w:rFonts w:ascii="宋体" w:hAnsi="宋体" w:cs="宋体"/>
          <w:color w:val="auto"/>
          <w:highlight w:val="none"/>
        </w:rPr>
        <w:t>1</w:t>
      </w:r>
      <w:r>
        <w:rPr>
          <w:rFonts w:ascii="宋体" w:hAnsi="宋体" w:cs="宋体" w:hint="eastAsia"/>
          <w:color w:val="auto"/>
          <w:highlight w:val="none"/>
        </w:rPr>
        <w:t>.</w:t>
      </w:r>
      <w:r>
        <w:rPr>
          <w:rFonts w:ascii="Arial" w:eastAsia="微软雅黑" w:hAnsi="微软雅黑" w:cstheme="minorBidi" w:hint="eastAsia"/>
          <w:b/>
          <w:bCs/>
          <w:color w:val="0070C0"/>
          <w:kern w:val="24"/>
          <w:szCs w:val="24"/>
          <w:highlight w:val="none"/>
        </w:rPr>
        <w:t xml:space="preserve"> </w:t>
      </w:r>
      <w:r>
        <w:rPr>
          <w:rFonts w:hint="eastAsia"/>
          <w:b/>
          <w:bCs/>
          <w:highlight w:val="none"/>
        </w:rPr>
        <w:t>基站配套存在问题分析：</w:t>
      </w:r>
    </w:p>
    <w:p>
      <w:pPr>
        <w:pStyle w:val="Body"/>
        <w:ind w:firstLine="480"/>
        <w:rPr>
          <w:rFonts w:ascii="宋体" w:hAnsi="宋体" w:cs="宋体"/>
          <w:highlight w:val="none"/>
        </w:rPr>
      </w:pPr>
      <w:r>
        <w:rPr>
          <w:rFonts w:ascii="宋体" w:hAnsi="宋体" w:cs="宋体" w:hint="eastAsia"/>
          <w:highlight w:val="none"/>
        </w:rPr>
        <w:t>（1）综合柜出现外观老化、紧固件松动、锈蚀、涂层脱落、结构件扭曲等问题。</w:t>
      </w:r>
    </w:p>
    <w:p>
      <w:pPr>
        <w:pStyle w:val="Body"/>
        <w:ind w:firstLine="480"/>
        <w:rPr>
          <w:rFonts w:ascii="宋体" w:hAnsi="宋体" w:cs="宋体"/>
          <w:highlight w:val="none"/>
        </w:rPr>
      </w:pPr>
      <w:r>
        <w:rPr>
          <w:rFonts w:ascii="宋体" w:hAnsi="宋体" w:cs="宋体" w:hint="eastAsia"/>
          <w:highlight w:val="none"/>
        </w:rPr>
        <w:t>（2）综合柜不符合城市规划和妨碍通行，影响市容市貌。</w:t>
      </w:r>
    </w:p>
    <w:p>
      <w:pPr>
        <w:pStyle w:val="Body"/>
        <w:ind w:firstLine="480"/>
        <w:rPr>
          <w:rFonts w:ascii="宋体" w:hAnsi="宋体" w:cs="宋体"/>
          <w:highlight w:val="none"/>
        </w:rPr>
      </w:pPr>
      <w:r>
        <w:rPr>
          <w:rFonts w:ascii="宋体" w:hAnsi="宋体" w:cs="宋体" w:hint="eastAsia"/>
          <w:highlight w:val="none"/>
        </w:rPr>
        <w:t>（3）线缆的私搭乱建、飞线、“空中蜘蛛网”、通信窨井盖等问题。</w:t>
      </w:r>
    </w:p>
    <w:p>
      <w:pPr>
        <w:pStyle w:val="Body"/>
        <w:ind w:firstLine="480"/>
        <w:rPr>
          <w:rFonts w:ascii="宋体" w:hAnsi="宋体" w:cs="宋体"/>
          <w:highlight w:val="none"/>
        </w:rPr>
      </w:pPr>
      <w:r>
        <w:rPr>
          <w:rFonts w:ascii="宋体" w:hAnsi="宋体" w:cs="宋体" w:hint="eastAsia"/>
          <w:highlight w:val="none"/>
        </w:rPr>
        <w:t>（4）通信杆路存在“杂乱多”现象，影响城市美观。</w:t>
      </w:r>
    </w:p>
    <w:p>
      <w:pPr>
        <w:pStyle w:val="Body"/>
        <w:ind w:firstLine="480"/>
        <w:rPr>
          <w:highlight w:val="none"/>
        </w:rPr>
      </w:pPr>
      <w:r>
        <w:rPr>
          <w:rFonts w:ascii="宋体" w:hAnsi="宋体" w:cs="宋体" w:hint="eastAsia"/>
          <w:highlight w:val="none"/>
        </w:rPr>
        <w:t>2</w:t>
      </w:r>
      <w:r>
        <w:rPr>
          <w:rFonts w:ascii="宋体" w:hAnsi="宋体" w:cs="宋体"/>
          <w:highlight w:val="none"/>
        </w:rPr>
        <w:t>.</w:t>
      </w:r>
      <w:r>
        <w:rPr>
          <w:rFonts w:ascii="Arial" w:eastAsia="微软雅黑" w:hAnsi="微软雅黑" w:cstheme="minorBidi" w:hint="eastAsia"/>
          <w:b/>
          <w:bCs/>
          <w:color w:val="0070C0"/>
          <w:kern w:val="24"/>
          <w:szCs w:val="24"/>
          <w:highlight w:val="none"/>
        </w:rPr>
        <w:t xml:space="preserve"> </w:t>
      </w:r>
      <w:r>
        <w:rPr>
          <w:rFonts w:hint="eastAsia"/>
          <w:b/>
          <w:bCs/>
          <w:highlight w:val="none"/>
        </w:rPr>
        <w:t>配套问题整改计划：</w:t>
      </w:r>
    </w:p>
    <w:p>
      <w:pPr>
        <w:pStyle w:val="Body"/>
        <w:ind w:firstLine="480"/>
        <w:rPr>
          <w:highlight w:val="none"/>
        </w:rPr>
      </w:pPr>
      <w:r>
        <w:rPr>
          <w:rFonts w:ascii="宋体" w:hAnsi="宋体" w:cs="宋体" w:hint="eastAsia"/>
          <w:color w:val="auto"/>
          <w:highlight w:val="none"/>
        </w:rPr>
        <w:t>（1）近期规划（2024年~2025年），预计完成站点摸排形成问题库，整治15%的TOP问题点的目标。整治范围有：完成市区、铁山区摸排；整治各区域主干道、次干道主要问题。</w:t>
      </w:r>
    </w:p>
    <w:p>
      <w:pPr>
        <w:pStyle w:val="Body"/>
        <w:ind w:firstLine="480"/>
        <w:rPr>
          <w:highlight w:val="none"/>
        </w:rPr>
      </w:pPr>
      <w:r>
        <w:rPr>
          <w:rFonts w:hint="eastAsia"/>
          <w:highlight w:val="none"/>
        </w:rPr>
        <w:t>（2）中期规划（2026年~2028年），</w:t>
      </w:r>
      <w:r>
        <w:rPr>
          <w:rFonts w:ascii="宋体" w:hAnsi="宋体" w:cs="宋体" w:hint="eastAsia"/>
          <w:color w:val="auto"/>
          <w:highlight w:val="none"/>
        </w:rPr>
        <w:t>预计</w:t>
      </w:r>
      <w:r>
        <w:rPr>
          <w:rFonts w:hint="eastAsia"/>
          <w:highlight w:val="none"/>
        </w:rPr>
        <w:t>完成整改70%问题点的目标。整治范围有：完成市区、工业园区及村落等重要场地及园区、村落交通干道问题整治。</w:t>
      </w:r>
    </w:p>
    <w:p>
      <w:pPr>
        <w:pStyle w:val="Body"/>
        <w:ind w:firstLine="480"/>
        <w:rPr>
          <w:highlight w:val="none"/>
        </w:rPr>
      </w:pPr>
      <w:r>
        <w:rPr>
          <w:rFonts w:hint="eastAsia"/>
          <w:highlight w:val="none"/>
        </w:rPr>
        <w:t>（3）远期期规划（2029年~2030年），预计完成整改100%问题点的目标，攻坚所有的遗留问题。</w:t>
      </w:r>
    </w:p>
    <w:p>
      <w:pPr>
        <w:pStyle w:val="Body"/>
        <w:ind w:firstLine="480"/>
        <w:rPr>
          <w:highlight w:val="none"/>
        </w:rPr>
      </w:pPr>
      <w:r>
        <w:rPr>
          <w:rFonts w:hint="eastAsia"/>
          <w:highlight w:val="none"/>
        </w:rPr>
        <w:t>3</w:t>
      </w:r>
      <w:r>
        <w:rPr>
          <w:highlight w:val="none"/>
        </w:rPr>
        <w:t>.</w:t>
      </w:r>
      <w:r>
        <w:rPr>
          <w:rFonts w:hint="eastAsia"/>
          <w:highlight w:val="none"/>
        </w:rPr>
        <w:t>下一步规划及整改主要原则有：</w:t>
      </w:r>
    </w:p>
    <w:p>
      <w:pPr>
        <w:pStyle w:val="Body"/>
        <w:ind w:firstLine="480"/>
        <w:rPr>
          <w:highlight w:val="none"/>
        </w:rPr>
      </w:pPr>
      <w:r>
        <w:rPr>
          <w:rFonts w:hint="eastAsia"/>
          <w:highlight w:val="none"/>
        </w:rPr>
        <w:t>（1）外观和结构规划整改原则：综合柜的外观和结构需保持完好。</w:t>
      </w:r>
    </w:p>
    <w:p>
      <w:pPr>
        <w:pStyle w:val="Body"/>
        <w:ind w:firstLine="480"/>
        <w:rPr>
          <w:highlight w:val="none"/>
        </w:rPr>
      </w:pPr>
      <w:r>
        <w:rPr>
          <w:rFonts w:hint="eastAsia"/>
          <w:highlight w:val="none"/>
        </w:rPr>
        <w:t>（2）综合柜应设置在安全、隐蔽、施工维护方便、易于进出线、不易受外界损伤及自然灾害影响的地方，同时又符合城市规划和不妨碍城市交通、不影响市容观瞻。</w:t>
      </w:r>
    </w:p>
    <w:p>
      <w:pPr>
        <w:pStyle w:val="Body"/>
        <w:ind w:firstLine="480"/>
        <w:rPr>
          <w:highlight w:val="none"/>
        </w:rPr>
      </w:pPr>
      <w:r>
        <w:rPr>
          <w:rFonts w:hint="eastAsia"/>
          <w:highlight w:val="none"/>
        </w:rPr>
        <w:t>（3）各运营商私搭乱建、飞线、“空中蜘蛛网”、通信窨井盖整治等问题，应组织进行常态化检查整改，配合创城工作，新规划立杆位置应充分考虑在高处安全位置，立杆处有足够搭拉线位置，不得影响车辆及行人的通行、周边环境美观。</w:t>
      </w:r>
    </w:p>
    <w:p>
      <w:pPr>
        <w:pStyle w:val="Body"/>
        <w:ind w:firstLine="480"/>
        <w:rPr>
          <w:highlight w:val="none"/>
        </w:rPr>
      </w:pPr>
      <w:r>
        <w:rPr>
          <w:rFonts w:hint="eastAsia"/>
          <w:highlight w:val="none"/>
        </w:rPr>
        <w:t>（4）针对通信杆路“杂乱多”现象，对通信线杆进行统一规划，统筹建设，共建共享。</w:t>
      </w:r>
    </w:p>
    <w:p>
      <w:pPr>
        <w:pStyle w:val="Body"/>
        <w:ind w:firstLine="480"/>
        <w:rPr>
          <w:highlight w:val="none"/>
        </w:rPr>
      </w:pPr>
      <w:r>
        <w:rPr>
          <w:highlight w:val="none"/>
        </w:rPr>
        <w:drawing>
          <wp:inline distT="0" distB="0" distL="0" distR="0">
            <wp:extent cx="2950210" cy="1962150"/>
            <wp:effectExtent l="0" t="0" r="2540" b="0"/>
            <wp:docPr id="7" name="图片 6" descr="图片包含 户外, 建筑, 草, 街道&#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图片包含 户外, 建筑, 草, 街道&#10;&#10;描述已自动生成"/>
                    <pic:cNvPicPr>
                      <a:picLocks noChangeAspect="1"/>
                    </pic:cNvPicPr>
                  </pic:nvPicPr>
                  <pic:blipFill>
                    <a:blip xmlns:r="http://schemas.openxmlformats.org/officeDocument/2006/relationships" r:embed="rId75"/>
                    <a:stretch>
                      <a:fillRect/>
                    </a:stretch>
                  </pic:blipFill>
                  <pic:spPr>
                    <a:xfrm>
                      <a:off x="0" y="0"/>
                      <a:ext cx="2955507" cy="1965640"/>
                    </a:xfrm>
                    <a:prstGeom prst="rect">
                      <a:avLst/>
                    </a:prstGeom>
                  </pic:spPr>
                </pic:pic>
              </a:graphicData>
            </a:graphic>
          </wp:inline>
        </w:drawing>
      </w:r>
      <w:r>
        <w:rPr>
          <w:highlight w:val="none"/>
        </w:rPr>
        <w:drawing>
          <wp:inline distT="0" distB="0" distL="0" distR="0">
            <wp:extent cx="2573655" cy="1957705"/>
            <wp:effectExtent l="0" t="0" r="0" b="4445"/>
            <wp:docPr id="12" name="图片 11" descr="街道边立着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街道边立着牌子&#10;&#10;描述已自动生成"/>
                    <pic:cNvPicPr>
                      <a:picLocks noChangeAspect="1"/>
                    </pic:cNvPicPr>
                  </pic:nvPicPr>
                  <pic:blipFill>
                    <a:blip xmlns:r="http://schemas.openxmlformats.org/officeDocument/2006/relationships" r:embed="rId76"/>
                    <a:stretch>
                      <a:fillRect/>
                    </a:stretch>
                  </pic:blipFill>
                  <pic:spPr>
                    <a:xfrm>
                      <a:off x="0" y="0"/>
                      <a:ext cx="2585082" cy="1966401"/>
                    </a:xfrm>
                    <a:prstGeom prst="rect">
                      <a:avLst/>
                    </a:prstGeom>
                  </pic:spPr>
                </pic:pic>
              </a:graphicData>
            </a:graphic>
          </wp:inline>
        </w:drawing>
      </w:r>
    </w:p>
    <w:p>
      <w:pPr>
        <w:pStyle w:val="Body"/>
        <w:ind w:firstLine="1470" w:firstLineChars="700"/>
        <w:rPr>
          <w:rFonts w:ascii="宋体" w:hAnsi="宋体" w:cs="宋体"/>
          <w:b/>
          <w:bCs/>
          <w:color w:val="auto"/>
          <w:kern w:val="2"/>
          <w:sz w:val="21"/>
          <w:szCs w:val="22"/>
          <w:highlight w:val="none"/>
        </w:rPr>
      </w:pPr>
      <w:r>
        <w:rPr>
          <w:rFonts w:ascii="宋体" w:hAnsi="宋体" w:cs="宋体" w:hint="eastAsia"/>
          <w:b/>
          <w:bCs/>
          <w:color w:val="auto"/>
          <w:kern w:val="2"/>
          <w:sz w:val="21"/>
          <w:szCs w:val="22"/>
          <w:highlight w:val="none"/>
        </w:rPr>
        <w:t>图1</w:t>
      </w:r>
      <w:r>
        <w:rPr>
          <w:rFonts w:ascii="宋体" w:hAnsi="宋体" w:cs="宋体"/>
          <w:b/>
          <w:bCs/>
          <w:color w:val="auto"/>
          <w:kern w:val="2"/>
          <w:sz w:val="21"/>
          <w:szCs w:val="22"/>
          <w:highlight w:val="none"/>
        </w:rPr>
        <w:t xml:space="preserve">2-11 </w:t>
      </w:r>
      <w:r>
        <w:rPr>
          <w:rFonts w:ascii="宋体" w:hAnsi="宋体" w:cs="宋体" w:hint="eastAsia"/>
          <w:b/>
          <w:bCs/>
          <w:color w:val="auto"/>
          <w:kern w:val="2"/>
          <w:sz w:val="21"/>
          <w:szCs w:val="22"/>
          <w:highlight w:val="none"/>
        </w:rPr>
        <w:t>综合柜整改前</w:t>
      </w:r>
      <w:r>
        <w:rPr>
          <w:rFonts w:ascii="宋体" w:hAnsi="宋体" w:cs="宋体" w:hint="eastAsia"/>
          <w:highlight w:val="none"/>
        </w:rPr>
        <w:t xml:space="preserve"> </w:t>
      </w:r>
      <w:r>
        <w:rPr>
          <w:rFonts w:ascii="宋体" w:hAnsi="宋体" w:cs="宋体"/>
          <w:highlight w:val="none"/>
        </w:rPr>
        <w:t xml:space="preserve">                   </w:t>
      </w:r>
      <w:r>
        <w:rPr>
          <w:rFonts w:ascii="宋体" w:hAnsi="宋体" w:cs="宋体" w:hint="eastAsia"/>
          <w:b/>
          <w:bCs/>
          <w:color w:val="auto"/>
          <w:kern w:val="2"/>
          <w:sz w:val="21"/>
          <w:szCs w:val="22"/>
          <w:highlight w:val="none"/>
        </w:rPr>
        <w:t>图1</w:t>
      </w:r>
      <w:r>
        <w:rPr>
          <w:rFonts w:ascii="宋体" w:hAnsi="宋体" w:cs="宋体"/>
          <w:b/>
          <w:bCs/>
          <w:color w:val="auto"/>
          <w:kern w:val="2"/>
          <w:sz w:val="21"/>
          <w:szCs w:val="22"/>
          <w:highlight w:val="none"/>
        </w:rPr>
        <w:t xml:space="preserve">2-12 </w:t>
      </w:r>
      <w:r>
        <w:rPr>
          <w:rFonts w:ascii="宋体" w:hAnsi="宋体" w:cs="宋体" w:hint="eastAsia"/>
          <w:b/>
          <w:bCs/>
          <w:color w:val="auto"/>
          <w:kern w:val="2"/>
          <w:sz w:val="21"/>
          <w:szCs w:val="22"/>
          <w:highlight w:val="none"/>
        </w:rPr>
        <w:t>综合柜整改后</w:t>
      </w:r>
    </w:p>
    <w:p>
      <w:pPr>
        <w:pStyle w:val="Body"/>
        <w:ind w:firstLine="1470" w:firstLineChars="700"/>
        <w:rPr>
          <w:rFonts w:ascii="宋体" w:hAnsi="宋体" w:cs="宋体"/>
          <w:highlight w:val="none"/>
        </w:rPr>
      </w:pPr>
    </w:p>
    <w:p>
      <w:pPr>
        <w:pStyle w:val="Body"/>
        <w:ind w:right="0" w:firstLine="480"/>
        <w:rPr>
          <w:rFonts w:ascii="宋体" w:hAnsi="宋体" w:cs="宋体"/>
          <w:color w:val="auto"/>
          <w:highlight w:val="none"/>
        </w:rPr>
      </w:pPr>
    </w:p>
    <w:p>
      <w:pPr>
        <w:pStyle w:val="Heading3"/>
        <w:spacing w:line="360" w:lineRule="auto"/>
        <w:ind w:firstLine="482"/>
        <w:rPr>
          <w:rFonts w:ascii="宋体" w:eastAsia="宋体" w:hAnsi="宋体" w:cs="宋体"/>
          <w:sz w:val="28"/>
          <w:szCs w:val="28"/>
          <w:highlight w:val="none"/>
        </w:rPr>
      </w:pPr>
      <w:bookmarkStart w:id="111" w:name="_Toc15198"/>
      <w:bookmarkStart w:id="112" w:name="_Toc6575276"/>
      <w:bookmarkStart w:id="113" w:name="_Toc21394"/>
      <w:r>
        <w:rPr>
          <w:rFonts w:ascii="宋体" w:eastAsia="宋体" w:hAnsi="宋体" w:cs="宋体" w:hint="eastAsia"/>
          <w:sz w:val="28"/>
          <w:szCs w:val="28"/>
          <w:highlight w:val="none"/>
        </w:rPr>
        <w:t>五、防雷接地原则</w:t>
      </w:r>
      <w:bookmarkEnd w:id="111"/>
      <w:bookmarkEnd w:id="112"/>
      <w:bookmarkEnd w:id="113"/>
    </w:p>
    <w:p>
      <w:pPr>
        <w:pStyle w:val="Body"/>
        <w:ind w:right="0" w:firstLine="480"/>
        <w:rPr>
          <w:rFonts w:ascii="宋体" w:hAnsi="宋体" w:cs="宋体"/>
          <w:color w:val="auto"/>
          <w:highlight w:val="none"/>
        </w:rPr>
      </w:pPr>
      <w:r>
        <w:rPr>
          <w:rFonts w:ascii="宋体" w:hAnsi="宋体" w:cs="宋体" w:hint="eastAsia"/>
          <w:color w:val="auto"/>
          <w:highlight w:val="none"/>
        </w:rPr>
        <w:t>广西是全国雷电灾害高发区，受区域山形地貌影响，广西的通信基站遭雷击事件经常发生，不仅威胁着通信基站的安全，也直接影响了人们的正常通信质量。</w:t>
      </w:r>
    </w:p>
    <w:p>
      <w:pPr>
        <w:pStyle w:val="Body"/>
        <w:ind w:right="0" w:firstLine="480"/>
        <w:rPr>
          <w:rFonts w:ascii="宋体" w:hAnsi="宋体" w:cs="宋体"/>
          <w:color w:val="auto"/>
          <w:highlight w:val="none"/>
        </w:rPr>
      </w:pPr>
      <w:r>
        <w:rPr>
          <w:rFonts w:ascii="宋体" w:hAnsi="宋体" w:cs="宋体" w:hint="eastAsia"/>
          <w:color w:val="auto"/>
          <w:highlight w:val="none"/>
        </w:rPr>
        <w:t>为了减少雷击对通信设备的损害，进一步加强灾害防治工作，本工程依据有关雷电防护的国家标准，结合移动通信基站实际情况，对移动通信基站防雷与接地设计的技术规范和要求做了相关说明。</w:t>
      </w:r>
    </w:p>
    <w:p>
      <w:pPr>
        <w:pStyle w:val="Body"/>
        <w:ind w:right="0" w:firstLine="480"/>
        <w:rPr>
          <w:rFonts w:ascii="宋体" w:hAnsi="宋体" w:cs="宋体"/>
          <w:color w:val="auto"/>
          <w:highlight w:val="none"/>
        </w:rPr>
      </w:pPr>
    </w:p>
    <w:p>
      <w:pPr>
        <w:snapToGrid w:val="0"/>
        <w:spacing w:line="360" w:lineRule="auto"/>
        <w:jc w:val="center"/>
        <w:rPr>
          <w:rFonts w:ascii="宋体" w:eastAsia="宋体" w:hAnsi="宋体" w:cs="宋体"/>
          <w:highlight w:val="none"/>
        </w:rPr>
      </w:pPr>
      <w:r>
        <w:rPr>
          <w:rFonts w:ascii="宋体" w:eastAsia="宋体" w:hAnsi="宋体" w:cs="宋体" w:hint="eastAsia"/>
          <w:highlight w:val="none"/>
        </w:rPr>
        <w:drawing>
          <wp:inline distT="0" distB="0" distL="0" distR="0">
            <wp:extent cx="4143375" cy="2124075"/>
            <wp:effectExtent l="38100" t="38100" r="47625" b="47625"/>
            <wp:docPr id="27" name="图片 27" descr="1214212822485f6ad63af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214212822485f6ad63afd9"/>
                    <pic:cNvPicPr>
                      <a:picLocks noChangeAspect="1" noChangeArrowheads="1"/>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4143375" cy="2124075"/>
                    </a:xfrm>
                    <a:prstGeom prst="rect">
                      <a:avLst/>
                    </a:prstGeom>
                    <a:noFill/>
                    <a:ln w="28575">
                      <a:solidFill>
                        <a:srgbClr val="000000"/>
                      </a:solidFill>
                      <a:miter lim="800000"/>
                      <a:headEnd/>
                      <a:tailEnd/>
                    </a:ln>
                  </pic:spPr>
                </pic:pic>
              </a:graphicData>
            </a:graphic>
          </wp:inline>
        </w:drawing>
      </w:r>
    </w:p>
    <w:p>
      <w:pPr>
        <w:snapToGrid w:val="0"/>
        <w:spacing w:line="360" w:lineRule="auto"/>
        <w:jc w:val="center"/>
        <w:rPr>
          <w:rFonts w:ascii="宋体" w:eastAsia="宋体" w:hAnsi="宋体" w:cs="宋体"/>
          <w:b/>
          <w:szCs w:val="21"/>
          <w:highlight w:val="none"/>
        </w:rPr>
      </w:pPr>
      <w:r>
        <w:rPr>
          <w:rFonts w:ascii="宋体" w:eastAsia="宋体" w:hAnsi="宋体" w:cs="宋体" w:hint="eastAsia"/>
          <w:b/>
          <w:szCs w:val="21"/>
          <w:highlight w:val="none"/>
        </w:rPr>
        <w:t>图12-14  地网示意图</w:t>
      </w:r>
    </w:p>
    <w:p>
      <w:pPr>
        <w:pStyle w:val="Body"/>
        <w:ind w:right="0" w:firstLine="480"/>
        <w:rPr>
          <w:rFonts w:ascii="宋体" w:hAnsi="宋体" w:cs="宋体"/>
          <w:color w:val="auto"/>
          <w:highlight w:val="none"/>
        </w:rPr>
      </w:pPr>
      <w:r>
        <w:rPr>
          <w:rFonts w:ascii="宋体" w:hAnsi="宋体" w:cs="宋体" w:hint="eastAsia"/>
          <w:color w:val="auto"/>
          <w:highlight w:val="none"/>
        </w:rPr>
        <w:t>基站防雷系统、接地系统的设置应符合《通信局（站）防雷与接地工程设计规范》（GB50689-2011）的要求。基站地线系统应采用联合接地方式，即工作接地、保护接地、防雷接地共设一组接地体。基站应按均压、等电位的原理，按联合接地地网的要求施工，基站的工频接地电阻一般控制在10</w:t>
      </w:r>
      <w:r>
        <w:rPr>
          <w:rFonts w:asciiTheme="minorEastAsia" w:eastAsiaTheme="minorEastAsia" w:hAnsiTheme="minorEastAsia" w:cstheme="minorEastAsia" w:hint="eastAsia"/>
          <w:color w:val="auto"/>
          <w:highlight w:val="none"/>
        </w:rPr>
        <w:t>Ω</w:t>
      </w:r>
      <w:r>
        <w:rPr>
          <w:rFonts w:ascii="宋体" w:hAnsi="宋体" w:cs="宋体" w:hint="eastAsia"/>
          <w:color w:val="auto"/>
          <w:highlight w:val="none"/>
        </w:rPr>
        <w:t>之内、地网的等效半径应在10米左右，或采用隔离式防雷系统。</w:t>
      </w:r>
    </w:p>
    <w:p>
      <w:pPr>
        <w:pStyle w:val="Heading3"/>
        <w:spacing w:line="360" w:lineRule="auto"/>
        <w:ind w:firstLine="482"/>
        <w:rPr>
          <w:rFonts w:ascii="宋体" w:eastAsia="宋体" w:hAnsi="宋体" w:cs="宋体"/>
          <w:sz w:val="28"/>
          <w:szCs w:val="28"/>
          <w:highlight w:val="none"/>
        </w:rPr>
      </w:pPr>
      <w:bookmarkStart w:id="114" w:name="_Toc22803"/>
      <w:r>
        <w:rPr>
          <w:rFonts w:ascii="宋体" w:eastAsia="宋体" w:hAnsi="宋体" w:cs="宋体" w:hint="eastAsia"/>
          <w:sz w:val="28"/>
          <w:szCs w:val="28"/>
          <w:highlight w:val="none"/>
        </w:rPr>
        <w:t>六、抗震设防原则</w:t>
      </w:r>
      <w:bookmarkEnd w:id="114"/>
    </w:p>
    <w:p>
      <w:pPr>
        <w:pStyle w:val="Body"/>
        <w:ind w:right="0" w:firstLine="480"/>
        <w:rPr>
          <w:rFonts w:ascii="宋体" w:hAnsi="宋体" w:cs="宋体"/>
          <w:color w:val="auto"/>
          <w:highlight w:val="none"/>
        </w:rPr>
      </w:pPr>
      <w:r>
        <w:rPr>
          <w:rFonts w:ascii="宋体" w:hAnsi="宋体" w:cs="宋体" w:hint="eastAsia"/>
          <w:color w:val="auto"/>
          <w:highlight w:val="none"/>
        </w:rPr>
        <w:t xml:space="preserve">本工程抗震设防烈度6度，设计的基本地震加速度0.05g。 </w:t>
      </w:r>
    </w:p>
    <w:p>
      <w:pPr>
        <w:pStyle w:val="Heading2"/>
        <w:spacing w:before="260" w:after="260" w:line="360" w:lineRule="auto"/>
        <w:ind w:left="0" w:firstLine="420" w:firstLineChars="200"/>
        <w:rPr>
          <w:rFonts w:ascii="宋体" w:eastAsia="宋体" w:hAnsi="宋体" w:cs="宋体"/>
          <w:sz w:val="32"/>
          <w:szCs w:val="32"/>
          <w:highlight w:val="none"/>
        </w:rPr>
      </w:pPr>
      <w:bookmarkStart w:id="115" w:name="_Toc2353"/>
      <w:r>
        <w:rPr>
          <w:rFonts w:ascii="宋体" w:eastAsia="宋体" w:hAnsi="宋体" w:cs="宋体" w:hint="eastAsia"/>
          <w:sz w:val="32"/>
          <w:szCs w:val="32"/>
          <w:highlight w:val="none"/>
        </w:rPr>
        <w:t>第十三章 市电引入规划</w:t>
      </w:r>
      <w:bookmarkEnd w:id="115"/>
    </w:p>
    <w:p>
      <w:pPr>
        <w:pStyle w:val="Heading3"/>
        <w:spacing w:line="360" w:lineRule="auto"/>
        <w:ind w:firstLine="420" w:firstLineChars="200"/>
        <w:rPr>
          <w:rFonts w:ascii="宋体" w:eastAsia="宋体" w:hAnsi="宋体" w:cs="宋体"/>
          <w:sz w:val="28"/>
          <w:szCs w:val="28"/>
          <w:highlight w:val="none"/>
        </w:rPr>
      </w:pPr>
      <w:bookmarkStart w:id="116" w:name="_Toc24103"/>
      <w:bookmarkStart w:id="117" w:name="_Toc444005344"/>
      <w:bookmarkStart w:id="118" w:name="_Toc210718904"/>
      <w:r>
        <w:rPr>
          <w:rFonts w:ascii="宋体" w:eastAsia="宋体" w:hAnsi="宋体" w:cs="宋体" w:hint="eastAsia"/>
          <w:sz w:val="28"/>
          <w:szCs w:val="28"/>
          <w:highlight w:val="none"/>
        </w:rPr>
        <w:t>一、市电供电等级分类标准</w:t>
      </w:r>
      <w:bookmarkEnd w:id="116"/>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（一）一类市电供电方式 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一类市电供电方式为从两个稳定可靠的独立电源引入两路供电线，两路供电线不应有同时检修停电的供电方式。 两路供电线宜配置备用电源自动投入装置。 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一类市电供电方式的不可用度指标：平均月市电故障次数应≤1次，平均每次故障持续时间≤0.5h。市电的年不可用度应＜6.8×10-4。  </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 xml:space="preserve">（二）二类市电供电方式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二类市电供电方式为满足以下两个条件之一者： 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a.</w:t>
      </w:r>
      <w:r>
        <w:rPr>
          <w:rFonts w:ascii="宋体" w:eastAsia="宋体" w:hAnsi="宋体" w:cs="宋体" w:hint="eastAsia"/>
          <w:sz w:val="24"/>
          <w:szCs w:val="24"/>
          <w:highlight w:val="none"/>
        </w:rPr>
        <w:tab/>
      </w:r>
      <w:r>
        <w:rPr>
          <w:rFonts w:ascii="宋体" w:eastAsia="宋体" w:hAnsi="宋体" w:cs="宋体" w:hint="eastAsia"/>
          <w:sz w:val="24"/>
          <w:szCs w:val="24"/>
          <w:highlight w:val="none"/>
        </w:rPr>
        <w:t>从两个以上独立电源构成的稳定可靠的环形网上引入一路供电线的供电方式；</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b.从一个稳定可靠的电源或从稳定可靠的输电线路上引入一路供电线的供电方式。 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二类市电供电方式的不可用度指标：平均月市电故障≤3.5次，平均每次市电故障持续时间应≤6h，市电的年不可用度应＜3×10-2。</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（三）三类市电供电方式 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三类市电供电方式为从一个电源引入一路供电线的供电方式。 </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三类市电供电方式的不可用度指标：平均月市电故障≤4.5次，平均每次市电故障持续时间应≤8h，市电的年不可用度应＜5×10-2。  </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（四）四类市电供电方式</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四类市电供电应符合下列条件之一的要求，</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1、由一个电源引入一路供电线，经常昼夜停电，供电无保证，达不到第三类市电供电要求，市电的年不可用度＞5×10-2；</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2、有季节性长时间停电或无市电可用。</w:t>
      </w:r>
    </w:p>
    <w:p>
      <w:pPr>
        <w:pStyle w:val="Heading3"/>
        <w:spacing w:line="360" w:lineRule="auto"/>
        <w:ind w:firstLine="420" w:firstLineChars="200"/>
        <w:rPr>
          <w:rFonts w:ascii="宋体" w:eastAsia="宋体" w:hAnsi="宋体" w:cs="宋体"/>
          <w:sz w:val="28"/>
          <w:szCs w:val="28"/>
          <w:highlight w:val="none"/>
        </w:rPr>
      </w:pPr>
      <w:bookmarkStart w:id="119" w:name="_Toc31174"/>
      <w:r>
        <w:rPr>
          <w:rFonts w:ascii="宋体" w:eastAsia="宋体" w:hAnsi="宋体" w:cs="宋体" w:hint="eastAsia"/>
          <w:sz w:val="28"/>
          <w:szCs w:val="28"/>
          <w:highlight w:val="none"/>
        </w:rPr>
        <w:t>二、市电引入需求</w:t>
      </w:r>
      <w:bookmarkEnd w:id="119"/>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（一）基站市电引入需求</w:t>
      </w:r>
    </w:p>
    <w:p>
      <w:pPr>
        <w:spacing w:line="360" w:lineRule="auto"/>
        <w:ind w:firstLine="420" w:firstLineChars="200"/>
        <w:rPr>
          <w:rFonts w:ascii="宋体" w:eastAsia="宋体" w:hAnsi="宋体" w:cs="宋体"/>
          <w:b/>
          <w:sz w:val="24"/>
          <w:szCs w:val="24"/>
          <w:highlight w:val="none"/>
        </w:rPr>
      </w:pPr>
      <w:r>
        <w:rPr>
          <w:rFonts w:ascii="宋体" w:eastAsia="宋体" w:hAnsi="宋体" w:cs="宋体" w:hint="eastAsia"/>
          <w:b/>
          <w:sz w:val="24"/>
          <w:szCs w:val="24"/>
          <w:highlight w:val="none"/>
        </w:rPr>
        <w:t>1、基站能耗分析</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5G基站一般按照BBU+3AAU 配置，主流厂家典型峰值功耗约4kW左右，传输设备1kW左右功耗，1个典型的5G基站所需新增功耗约为 5kW；4G 典型配置整机功耗约 1.2kW，5G相当于4G 功耗3倍。5G功耗的大幅增加。</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由于5G基站功耗增大，供电需求急剧增加，但大部分利旧站点原有交流引入设计负荷小于 20kw，原有大量利旧站点交流系统的变压器容量不足，交流线缆过细不满足线缆载流量和压降要求，交流配电箱内空开分断能力不足，现有油机发电功率不满足机房供电需求，因此大量的变压器以及交流引入线路等需要进行改造。</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对于新建站点，为满足各家5G以及其它网络建设的功耗需求，交流引入设计负荷不得小于 30kw。对集中供电站点，可根据区域内站点规模，选用低压集中供电机房（100KW 低压集中）和高压集中供电机房（25KW高压集中）两种。</w:t>
      </w:r>
    </w:p>
    <w:p>
      <w:pPr>
        <w:spacing w:line="360" w:lineRule="auto"/>
        <w:ind w:firstLine="420" w:firstLineChars="200"/>
        <w:rPr>
          <w:rFonts w:ascii="宋体" w:eastAsia="宋体" w:hAnsi="宋体" w:cs="宋体"/>
          <w:b/>
          <w:sz w:val="24"/>
          <w:szCs w:val="24"/>
          <w:highlight w:val="none"/>
        </w:rPr>
      </w:pPr>
      <w:r>
        <w:rPr>
          <w:rFonts w:ascii="宋体" w:eastAsia="宋体" w:hAnsi="宋体" w:cs="宋体" w:hint="eastAsia"/>
          <w:b/>
          <w:sz w:val="24"/>
          <w:szCs w:val="24"/>
          <w:highlight w:val="none"/>
        </w:rPr>
        <w:t>2、基站市电引入要求</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移动通信基站市电原则上引入一路不差于三类（平均月市电故障≤4.5次，平均每次故障持续时间≤8h）的市电电源，优选从公共电网引入一路380V/220V的交流电源。</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由于5G设备参数相比于4G系统有所不同，导致设备功耗的增加，对机房空间、外电容量、电源配置及空调散热等提出更高的要求。参考前期部分城市5G建设情况，综合考虑到后期设备升级降耗，以及节能软件的采用。综合考虑基站远期规划容量配置及三家运营商共享需求，交流市电引入容量要求不小于30kVA。为降低基站建设成本，在市电容量满足的基础上应优先采用引380V低压的方式。</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目前基站的交流供电基本上以当地市电作为主用交流电源，而市电引入情况大概可以分为以下四种情况：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（1）新建机房设有专用变压器，通过1路10KV高压引至基站专用变压器，通过变压器降压后负责基站设备供电。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（2）新建机房无专用变压器，从远端的公用变压器引1路380V（或220V）至基站，负责基站设备的供电。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（3）租用民房设有专用变压器的基站，从租用民房的低压配电系统的输出分路引至基站。</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（4）租用民房无专用变压器的基站，从租用民房的总交流配电箱处引至基站。</w:t>
      </w:r>
    </w:p>
    <w:p>
      <w:pPr>
        <w:pStyle w:val="Heading6"/>
        <w:spacing w:before="120" w:after="60" w:line="360" w:lineRule="auto"/>
        <w:ind w:firstLine="420" w:firstLineChars="200"/>
        <w:rPr>
          <w:rFonts w:ascii="宋体" w:eastAsia="宋体" w:hAnsi="宋体" w:cs="宋体"/>
          <w:highlight w:val="none"/>
        </w:rPr>
      </w:pPr>
      <w:r>
        <w:rPr>
          <w:rFonts w:ascii="宋体" w:eastAsia="宋体" w:hAnsi="宋体" w:cs="宋体" w:hint="eastAsia"/>
          <w:highlight w:val="none"/>
        </w:rPr>
        <w:t>（二）重点机房市电引入需求</w:t>
      </w:r>
    </w:p>
    <w:p>
      <w:pPr>
        <w:spacing w:line="360" w:lineRule="auto"/>
        <w:ind w:firstLine="420" w:firstLineChars="200"/>
        <w:rPr>
          <w:rFonts w:ascii="宋体" w:eastAsia="宋体" w:hAnsi="宋体" w:cs="宋体"/>
          <w:b/>
          <w:sz w:val="24"/>
          <w:szCs w:val="24"/>
          <w:highlight w:val="none"/>
        </w:rPr>
      </w:pPr>
      <w:r>
        <w:rPr>
          <w:rFonts w:ascii="宋体" w:eastAsia="宋体" w:hAnsi="宋体" w:cs="宋体" w:hint="eastAsia"/>
          <w:b/>
          <w:sz w:val="24"/>
          <w:szCs w:val="24"/>
          <w:highlight w:val="none"/>
        </w:rPr>
        <w:t>1、重点机房能耗分析</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原有通信机房中主设备主要为核心网设备、IP网设备和传输网（除接入传输）设备，基础设施主要为空调、电源。5G 时代存储与控制分离，MEC 将下沉至网络边缘，实现其边缘计算能力，核心网云化将与数据中心互联，大型 DC 作为 NewCore 核心云网络载体，构成 DC 网络的骨干核心，中小型 DC 承担 MEC边缘云计算，DU 也将集中在本地 DC 机房。DC 机房将会成为网络中心，这对通信机房及配套建设提出了更高的要求。因此，需要建设大量综合机房。同时随着通信机房主设备及配套设备的增多，对市电引入等提出新的需求，如原有汇聚机房供电需求只需66KW，但随着 5G 建设的需求，汇聚机房供电需求是99KW才能满足。</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随着5G网络、云网、DC、边缘计算的发展，各通信机房的服务器、数据网、传输网、移动设备不断增加，对电力要求越来越大，总能耗越来越高。通信机房耗电呈增长趋势，数据中心的能耗增长将更加明显，根据经验，通信机房的能耗和机房内的机架及架上的设备由紧密相关，而机架数量由和机房的面积相关。因此，在规划时，通信机房的能耗需求可以根据机房的类别和面积做简单的估算，作为申请市电额度的依据。</w:t>
      </w:r>
    </w:p>
    <w:p>
      <w:pPr>
        <w:spacing w:line="360" w:lineRule="auto"/>
        <w:ind w:firstLine="420" w:firstLineChars="200"/>
        <w:rPr>
          <w:rFonts w:ascii="宋体" w:eastAsia="宋体" w:hAnsi="宋体" w:cs="宋体"/>
          <w:b/>
          <w:sz w:val="24"/>
          <w:szCs w:val="24"/>
          <w:highlight w:val="none"/>
        </w:rPr>
      </w:pPr>
      <w:r>
        <w:rPr>
          <w:rFonts w:ascii="宋体" w:eastAsia="宋体" w:hAnsi="宋体" w:cs="宋体" w:hint="eastAsia"/>
          <w:b/>
          <w:sz w:val="24"/>
          <w:szCs w:val="24"/>
          <w:highlight w:val="none"/>
        </w:rPr>
        <w:t>2、重点机房市电引入要求</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本期所建设重点机房主要分为以下四类：一类重点机房承担省内核心网重要设备，完成省内业务收敛及处理。二类重点机房用于多个汇聚区域内业务收敛及处理、并承担核心网转发面设备，数据承载网BRAS，内容分发网CDN等，三类重点机房用于单个汇聚区域内业务收敛及处理，四类重点机房针对业务相对集中且距离三类重点机房较远区域，单独规划业务。</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根据重点机房所在地区的供电条件、线路引入方式及运行状态，将市电供电分为三类，市电供电划分条件应符合下列要求:</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一类市电供电为从两个稳定可靠的独立电源各自引入一路供电线。该两路不应同时出现检修停电，平均每月停电次数不应大于1次，平均每次故障时间不应大于0.5 小时。两路供电线宜配置备用市电电源自动投入装置。</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二类市电供电线路允许有计划检修停电，平均每月停电次数不应大于3.5次，平均每次故障时间不应大于6小时。供电应符合下列条件之一的要求:</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1)由两个以上独立电源构成稳定可靠的环形网上引入一路供电。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2)由一个稳定可靠的独立电源或从稳定可靠的输电线路上引入一路供电线。</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三类市电供电为从一个电源引入一路供电线，供电线路长、用户多、平均每月停电次数不应大于4.5次，平均每次故障时间不应大于8小时。</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一类重点机房原则上采用一类市电供电，专用变压器应采用N+1配置，即多套主用变压器(含低压系统)共用一套备用低压系统，当一套系统故障时，其余系统可满足所有负载。一类重点机房需设置固定柴油发电机组，柴油发电机组按N配置，即不设置冗余发电机组，发电机组总容量即为负荷容量。</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二类重点机房原则上采用二类市电供电，但当具备外电条件且投资增加不大时可考虑一类市电引入。专用变压器应采用N+1配置，即多套主用变压器(含低压系统)共用一套备用低压系统，当一套系统故障时，其余系统可满足所有负载。一类重点机房需设置固定柴油发电机组，柴油发电机组按N配置，即不设置冗余发电机组，发电机组总容量即为负荷容量。</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三类重点机房、四类重点机房具备条件时引入二类市电，不具备条件时引入三类市电。三类机房变压器可采用N配置，当变压器检修或故障时，由非保障的变压器或应急柴油发电机供电。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三类重点机房、四类重点机房不具备专用变压器建设条件时，可考虑以下市电引入方式：</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（1）从公用变压器引入1路380V市电；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（2）当重点机房所在居民小区设置有专用变压器时，可从小区专用变压器引入1路380V市电。</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采用上述市电引入方式时，为了保证满足5G建设需求及机房未来发展需求，市电引入容量应不少于60kVA。</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三类重点机房、四类重点机房可不设置固定柴油发电机，但应配置应急车载发电机组，并预留车载发电机接口。</w:t>
      </w:r>
    </w:p>
    <w:p>
      <w:pPr>
        <w:pStyle w:val="Heading3"/>
        <w:spacing w:line="360" w:lineRule="auto"/>
        <w:ind w:firstLine="420" w:firstLineChars="200"/>
        <w:rPr>
          <w:rFonts w:ascii="宋体" w:eastAsia="宋体" w:hAnsi="宋体" w:cs="宋体"/>
          <w:sz w:val="28"/>
          <w:szCs w:val="28"/>
          <w:highlight w:val="none"/>
        </w:rPr>
      </w:pPr>
      <w:bookmarkStart w:id="120" w:name="_Toc14360"/>
      <w:r>
        <w:rPr>
          <w:rFonts w:ascii="宋体" w:eastAsia="宋体" w:hAnsi="宋体" w:cs="宋体" w:hint="eastAsia"/>
          <w:sz w:val="28"/>
          <w:szCs w:val="28"/>
          <w:highlight w:val="none"/>
        </w:rPr>
        <w:t>三、新增能耗需求</w:t>
      </w:r>
      <w:bookmarkEnd w:id="120"/>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根据规划期内新增基站与重点机房需求，各区县新增功耗详见下表。</w:t>
      </w:r>
    </w:p>
    <w:p>
      <w:pPr>
        <w:pStyle w:val="1"/>
        <w:spacing w:line="360" w:lineRule="auto"/>
        <w:ind w:firstLine="420" w:firstLineChars="200"/>
        <w:jc w:val="center"/>
        <w:rPr>
          <w:rFonts w:ascii="宋体" w:eastAsia="宋体" w:hAnsi="宋体" w:cs="宋体"/>
          <w:b/>
          <w:bCs/>
          <w:szCs w:val="21"/>
          <w:highlight w:val="none"/>
        </w:rPr>
      </w:pPr>
      <w:r>
        <w:rPr>
          <w:rFonts w:ascii="宋体" w:eastAsia="宋体" w:hAnsi="宋体" w:cs="宋体" w:hint="eastAsia"/>
          <w:b/>
          <w:bCs/>
          <w:szCs w:val="21"/>
          <w:highlight w:val="none"/>
        </w:rPr>
        <w:t>表13-1各区县新增耗电量预测</w:t>
      </w:r>
    </w:p>
    <w:tbl>
      <w:tblPr>
        <w:tblStyle w:val="TableNormal"/>
        <w:tblW w:w="8505" w:type="dxa"/>
        <w:jc w:val="center"/>
        <w:tblCellMar>
          <w:top w:w="0" w:type="dxa"/>
          <w:left w:w="108" w:type="dxa"/>
          <w:bottom w:w="0" w:type="dxa"/>
          <w:right w:w="108" w:type="dxa"/>
        </w:tblCellMar>
      </w:tblPr>
      <w:tblGrid>
        <w:gridCol w:w="1701"/>
        <w:gridCol w:w="1701"/>
        <w:gridCol w:w="1701"/>
        <w:gridCol w:w="1701"/>
        <w:gridCol w:w="1701"/>
      </w:tblGrid>
      <w:tr>
        <w:tblPrEx>
          <w:tblW w:w="8505" w:type="dxa"/>
          <w:jc w:val="center"/>
          <w:tblCellMar>
            <w:top w:w="0" w:type="dxa"/>
            <w:left w:w="108" w:type="dxa"/>
            <w:bottom w:w="0" w:type="dxa"/>
            <w:right w:w="108" w:type="dxa"/>
          </w:tblCellMar>
        </w:tblPrEx>
        <w:trPr>
          <w:trHeight w:val="510"/>
          <w:jc w:val="center"/>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bookmarkEnd w:id="117"/>
            <w:bookmarkEnd w:id="118"/>
            <w:r>
              <w:rPr>
                <w:rFonts w:ascii="宋体" w:eastAsia="宋体" w:hAnsi="宋体" w:cs="宋体"/>
                <w:b/>
                <w:bCs/>
                <w:kern w:val="0"/>
                <w:szCs w:val="21"/>
                <w:highlight w:val="none"/>
              </w:rPr>
              <w:br w:type="page"/>
            </w:r>
            <w:r>
              <w:rPr>
                <w:rFonts w:ascii="宋体" w:eastAsia="宋体" w:hAnsi="宋体" w:cs="宋体" w:hint="eastAsia"/>
                <w:b/>
                <w:bCs/>
                <w:kern w:val="0"/>
                <w:szCs w:val="21"/>
                <w:highlight w:val="none"/>
              </w:rPr>
              <w:t>区县</w:t>
            </w:r>
          </w:p>
        </w:tc>
        <w:tc>
          <w:tcPr>
            <w:tcW w:w="1701"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现状站点</w:t>
            </w:r>
          </w:p>
        </w:tc>
        <w:tc>
          <w:tcPr>
            <w:tcW w:w="1701"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新建站点</w:t>
            </w:r>
          </w:p>
        </w:tc>
        <w:tc>
          <w:tcPr>
            <w:tcW w:w="1701"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新增重点机房</w:t>
            </w:r>
          </w:p>
        </w:tc>
        <w:tc>
          <w:tcPr>
            <w:tcW w:w="1701" w:type="dxa"/>
            <w:tcBorders>
              <w:top w:val="single" w:sz="4" w:space="0" w:color="auto"/>
              <w:left w:val="nil"/>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新增耗电量(KW)</w:t>
            </w:r>
          </w:p>
        </w:tc>
      </w:tr>
      <w:tr>
        <w:tblPrEx>
          <w:tblW w:w="8505" w:type="dxa"/>
          <w:jc w:val="center"/>
          <w:tblCellMar>
            <w:top w:w="0" w:type="dxa"/>
            <w:left w:w="108" w:type="dxa"/>
            <w:bottom w:w="0" w:type="dxa"/>
            <w:right w:w="108" w:type="dxa"/>
          </w:tblCellMar>
        </w:tblPrEx>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银海区</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r>
              <w:rPr>
                <w:rFonts w:ascii="宋体" w:eastAsia="宋体" w:hAnsi="宋体" w:cs="宋体"/>
                <w:kern w:val="0"/>
                <w:szCs w:val="21"/>
                <w:highlight w:val="none"/>
              </w:rPr>
              <w:t>10</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w:t>
            </w:r>
            <w:r>
              <w:rPr>
                <w:rFonts w:ascii="宋体" w:eastAsia="宋体" w:hAnsi="宋体" w:cs="宋体"/>
                <w:kern w:val="0"/>
                <w:szCs w:val="21"/>
                <w:highlight w:val="none"/>
              </w:rPr>
              <w:t>49</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r>
              <w:rPr>
                <w:rFonts w:ascii="宋体" w:eastAsia="宋体" w:hAnsi="宋体" w:cs="宋体"/>
                <w:kern w:val="0"/>
                <w:szCs w:val="21"/>
                <w:highlight w:val="none"/>
              </w:rPr>
              <w:t>0</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w:t>
            </w:r>
            <w:r>
              <w:rPr>
                <w:rFonts w:ascii="宋体" w:eastAsia="宋体" w:hAnsi="宋体" w:cs="宋体"/>
                <w:kern w:val="0"/>
                <w:szCs w:val="21"/>
                <w:highlight w:val="none"/>
              </w:rPr>
              <w:t>275</w:t>
            </w:r>
          </w:p>
        </w:tc>
      </w:tr>
      <w:tr>
        <w:tblPrEx>
          <w:tblW w:w="8505" w:type="dxa"/>
          <w:jc w:val="center"/>
          <w:tblCellMar>
            <w:top w:w="0" w:type="dxa"/>
            <w:left w:w="108" w:type="dxa"/>
            <w:bottom w:w="0" w:type="dxa"/>
            <w:right w:w="108" w:type="dxa"/>
          </w:tblCellMar>
        </w:tblPrEx>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海城区</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5</w:t>
            </w:r>
            <w:r>
              <w:rPr>
                <w:rFonts w:ascii="宋体" w:eastAsia="宋体" w:hAnsi="宋体" w:cs="宋体"/>
                <w:kern w:val="0"/>
                <w:szCs w:val="21"/>
                <w:highlight w:val="none"/>
              </w:rPr>
              <w:t>65</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7</w:t>
            </w:r>
            <w:r>
              <w:rPr>
                <w:rFonts w:ascii="宋体" w:eastAsia="宋体" w:hAnsi="宋体" w:cs="宋体"/>
                <w:kern w:val="0"/>
                <w:szCs w:val="21"/>
                <w:highlight w:val="none"/>
              </w:rPr>
              <w:t>45</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7</w:t>
            </w:r>
            <w:r>
              <w:rPr>
                <w:rFonts w:ascii="宋体" w:eastAsia="宋体" w:hAnsi="宋体" w:cs="宋体"/>
                <w:kern w:val="0"/>
                <w:szCs w:val="21"/>
                <w:highlight w:val="none"/>
              </w:rPr>
              <w:t>4</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3876</w:t>
            </w:r>
          </w:p>
        </w:tc>
      </w:tr>
      <w:tr>
        <w:tblPrEx>
          <w:tblW w:w="8505" w:type="dxa"/>
          <w:jc w:val="center"/>
          <w:tblCellMar>
            <w:top w:w="0" w:type="dxa"/>
            <w:left w:w="108" w:type="dxa"/>
            <w:bottom w:w="0" w:type="dxa"/>
            <w:right w:w="108" w:type="dxa"/>
          </w:tblCellMar>
        </w:tblPrEx>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铁山港区</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r>
              <w:rPr>
                <w:rFonts w:ascii="宋体" w:eastAsia="宋体" w:hAnsi="宋体" w:cs="宋体"/>
                <w:kern w:val="0"/>
                <w:szCs w:val="21"/>
                <w:highlight w:val="none"/>
              </w:rPr>
              <w:t>08</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r>
              <w:rPr>
                <w:rFonts w:ascii="宋体" w:eastAsia="宋体" w:hAnsi="宋体" w:cs="宋体"/>
                <w:kern w:val="0"/>
                <w:szCs w:val="21"/>
                <w:highlight w:val="none"/>
              </w:rPr>
              <w:t>57</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8</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4</w:t>
            </w:r>
            <w:r>
              <w:rPr>
                <w:rFonts w:ascii="宋体" w:eastAsia="宋体" w:hAnsi="宋体" w:cs="宋体"/>
                <w:kern w:val="0"/>
                <w:szCs w:val="21"/>
                <w:highlight w:val="none"/>
              </w:rPr>
              <w:t>117</w:t>
            </w:r>
          </w:p>
        </w:tc>
      </w:tr>
      <w:tr>
        <w:tblPrEx>
          <w:tblW w:w="8505" w:type="dxa"/>
          <w:jc w:val="center"/>
          <w:tblCellMar>
            <w:top w:w="0" w:type="dxa"/>
            <w:left w:w="108" w:type="dxa"/>
            <w:bottom w:w="0" w:type="dxa"/>
            <w:right w:w="108" w:type="dxa"/>
          </w:tblCellMar>
        </w:tblPrEx>
        <w:trPr>
          <w:trHeight w:val="270"/>
          <w:jc w:val="center"/>
        </w:trPr>
        <w:tc>
          <w:tcPr>
            <w:tcW w:w="1701" w:type="dxa"/>
            <w:tcBorders>
              <w:top w:val="nil"/>
              <w:left w:val="single" w:sz="4" w:space="0" w:color="auto"/>
              <w:bottom w:val="single" w:sz="4" w:space="0" w:color="auto"/>
              <w:right w:val="single" w:sz="4" w:space="0" w:color="auto"/>
            </w:tcBorders>
            <w:shd w:val="clear" w:color="auto" w:fill="auto"/>
            <w:vAlign w:val="center"/>
          </w:tcPr>
          <w:p>
            <w:pPr>
              <w:widowControl/>
              <w:jc w:val="center"/>
              <w:rPr>
                <w:rFonts w:ascii="宋体" w:eastAsia="宋体" w:hAnsi="宋体" w:cs="宋体"/>
                <w:b/>
                <w:bCs/>
                <w:kern w:val="0"/>
                <w:szCs w:val="21"/>
                <w:highlight w:val="none"/>
              </w:rPr>
            </w:pPr>
            <w:r>
              <w:rPr>
                <w:rFonts w:ascii="宋体" w:eastAsia="宋体" w:hAnsi="宋体" w:cs="宋体" w:hint="eastAsia"/>
                <w:b/>
                <w:bCs/>
                <w:kern w:val="0"/>
                <w:szCs w:val="21"/>
                <w:highlight w:val="none"/>
              </w:rPr>
              <w:t>总计</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183</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r>
              <w:rPr>
                <w:rFonts w:ascii="宋体" w:eastAsia="宋体" w:hAnsi="宋体" w:cs="宋体"/>
                <w:kern w:val="0"/>
                <w:szCs w:val="21"/>
                <w:highlight w:val="none"/>
              </w:rPr>
              <w:t>051</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1</w:t>
            </w:r>
            <w:r>
              <w:rPr>
                <w:rFonts w:ascii="宋体" w:eastAsia="宋体" w:hAnsi="宋体" w:cs="宋体"/>
                <w:kern w:val="0"/>
                <w:szCs w:val="21"/>
                <w:highlight w:val="none"/>
              </w:rPr>
              <w:t>02</w:t>
            </w:r>
          </w:p>
        </w:tc>
        <w:tc>
          <w:tcPr>
            <w:tcW w:w="1701" w:type="dxa"/>
            <w:tcBorders>
              <w:top w:val="nil"/>
              <w:left w:val="nil"/>
              <w:bottom w:val="single" w:sz="4" w:space="0" w:color="auto"/>
              <w:right w:val="single" w:sz="4" w:space="0" w:color="auto"/>
            </w:tcBorders>
            <w:shd w:val="clear" w:color="auto" w:fill="auto"/>
            <w:noWrap/>
            <w:vAlign w:val="center"/>
          </w:tcPr>
          <w:p>
            <w:pPr>
              <w:widowControl/>
              <w:jc w:val="center"/>
              <w:rPr>
                <w:rFonts w:ascii="宋体" w:eastAsia="宋体" w:hAnsi="宋体" w:cs="宋体"/>
                <w:kern w:val="0"/>
                <w:szCs w:val="21"/>
                <w:highlight w:val="none"/>
              </w:rPr>
            </w:pPr>
            <w:r>
              <w:rPr>
                <w:rFonts w:ascii="宋体" w:eastAsia="宋体" w:hAnsi="宋体" w:cs="宋体" w:hint="eastAsia"/>
                <w:kern w:val="0"/>
                <w:szCs w:val="21"/>
                <w:highlight w:val="none"/>
              </w:rPr>
              <w:t>2</w:t>
            </w:r>
            <w:r>
              <w:rPr>
                <w:rFonts w:ascii="宋体" w:eastAsia="宋体" w:hAnsi="宋体" w:cs="宋体"/>
                <w:kern w:val="0"/>
                <w:szCs w:val="21"/>
                <w:highlight w:val="none"/>
              </w:rPr>
              <w:t>6268</w:t>
            </w:r>
          </w:p>
        </w:tc>
      </w:tr>
    </w:tbl>
    <w:p>
      <w:pPr>
        <w:widowControl/>
        <w:spacing w:line="360" w:lineRule="auto"/>
        <w:jc w:val="left"/>
        <w:rPr>
          <w:rFonts w:ascii="宋体" w:eastAsia="宋体" w:hAnsi="宋体" w:cs="宋体"/>
          <w:sz w:val="32"/>
          <w:szCs w:val="32"/>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121" w:name="_Toc26500"/>
      <w:r>
        <w:rPr>
          <w:rFonts w:ascii="宋体" w:eastAsia="宋体" w:hAnsi="宋体" w:cs="宋体" w:hint="eastAsia"/>
          <w:sz w:val="32"/>
          <w:szCs w:val="32"/>
          <w:highlight w:val="none"/>
        </w:rPr>
        <w:t>第十四章 宏站规划覆盖盲区解决方案</w:t>
      </w:r>
      <w:bookmarkEnd w:id="121"/>
    </w:p>
    <w:p>
      <w:pPr>
        <w:spacing w:before="260" w:after="260" w:line="360" w:lineRule="auto"/>
        <w:ind w:firstLine="420" w:firstLineChars="200"/>
        <w:outlineLvl w:val="2"/>
        <w:rPr>
          <w:rFonts w:ascii="宋体" w:eastAsia="宋体" w:hAnsi="宋体" w:cs="宋体"/>
          <w:b/>
          <w:sz w:val="28"/>
          <w:szCs w:val="28"/>
          <w:highlight w:val="none"/>
        </w:rPr>
      </w:pPr>
      <w:bookmarkStart w:id="122" w:name="_Toc70"/>
      <w:r>
        <w:rPr>
          <w:rFonts w:ascii="宋体" w:eastAsia="宋体" w:hAnsi="宋体" w:cs="宋体" w:hint="eastAsia"/>
          <w:b/>
          <w:sz w:val="28"/>
          <w:szCs w:val="28"/>
          <w:highlight w:val="none"/>
        </w:rPr>
        <w:t>一、直放站</w:t>
      </w:r>
      <w:bookmarkEnd w:id="122"/>
    </w:p>
    <w:p>
      <w:pPr>
        <w:spacing w:line="360" w:lineRule="auto"/>
        <w:ind w:firstLine="420" w:firstLineChars="20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使用直放站作为实现“小容量、大覆盖”目标的必要手段之一，主要是由于使用直放站一是在不增加</w:t>
      </w:r>
      <w:r>
        <w:rPr>
          <w:highlight w:val="none"/>
        </w:rPr>
        <w:fldChar w:fldCharType="begin"/>
      </w:r>
      <w:r>
        <w:rPr>
          <w:highlight w:val="none"/>
        </w:rPr>
        <w:instrText xml:space="preserve"> HYPERLINK "https://baike.baidu.com/item/%E5%9F%BA%E7%AB%99" \t "_blank" </w:instrText>
      </w:r>
      <w:r>
        <w:rPr>
          <w:highlight w:val="none"/>
        </w:rPr>
        <w:fldChar w:fldCharType="separate"/>
      </w:r>
      <w:r>
        <w:rPr>
          <w:rStyle w:val="Hyperlink"/>
          <w:rFonts w:ascii="宋体" w:eastAsia="宋体" w:hAnsi="宋体" w:cs="宋体" w:hint="eastAsia"/>
          <w:color w:val="auto"/>
          <w:sz w:val="24"/>
          <w:szCs w:val="24"/>
          <w:highlight w:val="none"/>
          <w:u w:val="none"/>
          <w:shd w:val="clear" w:color="auto" w:fill="FFFFFF"/>
        </w:rPr>
        <w:t>基站</w:t>
      </w:r>
      <w:r>
        <w:rPr>
          <w:rStyle w:val="Hyperlink"/>
          <w:rFonts w:ascii="宋体" w:eastAsia="宋体" w:hAnsi="宋体" w:cs="宋体" w:hint="eastAsia"/>
          <w:color w:val="auto"/>
          <w:sz w:val="24"/>
          <w:szCs w:val="24"/>
          <w:highlight w:val="none"/>
          <w:u w:val="none"/>
          <w:shd w:val="clear" w:color="auto" w:fill="FFFFFF"/>
        </w:rPr>
        <w:fldChar w:fldCharType="end"/>
      </w:r>
      <w:r>
        <w:rPr>
          <w:rFonts w:ascii="宋体" w:eastAsia="宋体" w:hAnsi="宋体" w:cs="宋体" w:hint="eastAsia"/>
          <w:sz w:val="24"/>
          <w:szCs w:val="24"/>
          <w:highlight w:val="none"/>
          <w:shd w:val="clear" w:color="auto" w:fill="FFFFFF"/>
        </w:rPr>
        <w:t>数量的前提下保证网络覆盖，二是其造价远远低于有同样效果的</w:t>
      </w:r>
      <w:r>
        <w:rPr>
          <w:highlight w:val="none"/>
        </w:rPr>
        <w:fldChar w:fldCharType="begin"/>
      </w:r>
      <w:r>
        <w:rPr>
          <w:highlight w:val="none"/>
        </w:rPr>
        <w:instrText xml:space="preserve"> HYPERLINK "https://baike.baidu.com/item/%E5%BE%AE%E8%9C%82%E7%AA%9D" \t "_blank" </w:instrText>
      </w:r>
      <w:r>
        <w:rPr>
          <w:highlight w:val="none"/>
        </w:rPr>
        <w:fldChar w:fldCharType="separate"/>
      </w:r>
      <w:r>
        <w:rPr>
          <w:rStyle w:val="Hyperlink"/>
          <w:rFonts w:ascii="宋体" w:eastAsia="宋体" w:hAnsi="宋体" w:cs="宋体" w:hint="eastAsia"/>
          <w:color w:val="auto"/>
          <w:sz w:val="24"/>
          <w:szCs w:val="24"/>
          <w:highlight w:val="none"/>
          <w:u w:val="none"/>
          <w:shd w:val="clear" w:color="auto" w:fill="FFFFFF"/>
        </w:rPr>
        <w:t>微蜂窝</w:t>
      </w:r>
      <w:r>
        <w:rPr>
          <w:rStyle w:val="Hyperlink"/>
          <w:rFonts w:ascii="宋体" w:eastAsia="宋体" w:hAnsi="宋体" w:cs="宋体" w:hint="eastAsia"/>
          <w:color w:val="auto"/>
          <w:sz w:val="24"/>
          <w:szCs w:val="24"/>
          <w:highlight w:val="none"/>
          <w:u w:val="none"/>
          <w:shd w:val="clear" w:color="auto" w:fill="FFFFFF"/>
        </w:rPr>
        <w:fldChar w:fldCharType="end"/>
      </w:r>
      <w:r>
        <w:rPr>
          <w:rFonts w:ascii="宋体" w:eastAsia="宋体" w:hAnsi="宋体" w:cs="宋体" w:hint="eastAsia"/>
          <w:sz w:val="24"/>
          <w:szCs w:val="24"/>
          <w:highlight w:val="none"/>
          <w:shd w:val="clear" w:color="auto" w:fill="FFFFFF"/>
        </w:rPr>
        <w:t>系统。直放站是解决</w:t>
      </w:r>
      <w:r>
        <w:rPr>
          <w:highlight w:val="none"/>
        </w:rPr>
        <w:fldChar w:fldCharType="begin"/>
      </w:r>
      <w:r>
        <w:rPr>
          <w:highlight w:val="none"/>
        </w:rPr>
        <w:instrText xml:space="preserve"> HYPERLINK "https://baike.baidu.com/item/%E9%80%9A%E4%BF%A1%E7%BD%91%E7%BB%9C" \t "_blank" </w:instrText>
      </w:r>
      <w:r>
        <w:rPr>
          <w:highlight w:val="none"/>
        </w:rPr>
        <w:fldChar w:fldCharType="separate"/>
      </w:r>
      <w:r>
        <w:rPr>
          <w:rStyle w:val="Hyperlink"/>
          <w:rFonts w:ascii="宋体" w:eastAsia="宋体" w:hAnsi="宋体" w:cs="宋体" w:hint="eastAsia"/>
          <w:color w:val="auto"/>
          <w:sz w:val="24"/>
          <w:szCs w:val="24"/>
          <w:highlight w:val="none"/>
          <w:u w:val="none"/>
          <w:shd w:val="clear" w:color="auto" w:fill="FFFFFF"/>
        </w:rPr>
        <w:t>通信网络</w:t>
      </w:r>
      <w:r>
        <w:rPr>
          <w:rStyle w:val="Hyperlink"/>
          <w:rFonts w:ascii="宋体" w:eastAsia="宋体" w:hAnsi="宋体" w:cs="宋体" w:hint="eastAsia"/>
          <w:color w:val="auto"/>
          <w:sz w:val="24"/>
          <w:szCs w:val="24"/>
          <w:highlight w:val="none"/>
          <w:u w:val="none"/>
          <w:shd w:val="clear" w:color="auto" w:fill="FFFFFF"/>
        </w:rPr>
        <w:fldChar w:fldCharType="end"/>
      </w:r>
      <w:r>
        <w:rPr>
          <w:rFonts w:ascii="宋体" w:eastAsia="宋体" w:hAnsi="宋体" w:cs="宋体" w:hint="eastAsia"/>
          <w:sz w:val="24"/>
          <w:szCs w:val="24"/>
          <w:highlight w:val="none"/>
          <w:shd w:val="clear" w:color="auto" w:fill="FFFFFF"/>
        </w:rPr>
        <w:t>延伸覆盖能力的一种优选方案。它与基站相比有结构简单、投资较少和安装方便等优点，可广泛用于难于覆盖的</w:t>
      </w:r>
      <w:r>
        <w:rPr>
          <w:highlight w:val="none"/>
        </w:rPr>
        <w:fldChar w:fldCharType="begin"/>
      </w:r>
      <w:r>
        <w:rPr>
          <w:highlight w:val="none"/>
        </w:rPr>
        <w:instrText xml:space="preserve"> HYPERLINK "https://baike.baidu.com/item/%E7%9B%B2%E5%8C%BA" \t "_blank" </w:instrText>
      </w:r>
      <w:r>
        <w:rPr>
          <w:highlight w:val="none"/>
        </w:rPr>
        <w:fldChar w:fldCharType="separate"/>
      </w:r>
      <w:r>
        <w:rPr>
          <w:rStyle w:val="Hyperlink"/>
          <w:rFonts w:ascii="宋体" w:eastAsia="宋体" w:hAnsi="宋体" w:cs="宋体" w:hint="eastAsia"/>
          <w:color w:val="auto"/>
          <w:sz w:val="24"/>
          <w:szCs w:val="24"/>
          <w:highlight w:val="none"/>
          <w:u w:val="none"/>
          <w:shd w:val="clear" w:color="auto" w:fill="FFFFFF"/>
        </w:rPr>
        <w:t>盲区</w:t>
      </w:r>
      <w:r>
        <w:rPr>
          <w:rStyle w:val="Hyperlink"/>
          <w:rFonts w:ascii="宋体" w:eastAsia="宋体" w:hAnsi="宋体" w:cs="宋体" w:hint="eastAsia"/>
          <w:color w:val="auto"/>
          <w:sz w:val="24"/>
          <w:szCs w:val="24"/>
          <w:highlight w:val="none"/>
          <w:u w:val="none"/>
          <w:shd w:val="clear" w:color="auto" w:fill="FFFFFF"/>
        </w:rPr>
        <w:fldChar w:fldCharType="end"/>
      </w:r>
      <w:r>
        <w:rPr>
          <w:rFonts w:ascii="宋体" w:eastAsia="宋体" w:hAnsi="宋体" w:cs="宋体" w:hint="eastAsia"/>
          <w:sz w:val="24"/>
          <w:szCs w:val="24"/>
          <w:highlight w:val="none"/>
          <w:shd w:val="clear" w:color="auto" w:fill="FFFFFF"/>
        </w:rPr>
        <w:t>和弱区，如商场、宾馆、机场、码头、车站、体育馆、娱乐厅、地铁、隧道、高速公路、海岛等各种场所，提高通信质量，解决掉话等问题。</w:t>
      </w:r>
    </w:p>
    <w:p>
      <w:pPr>
        <w:widowControl/>
        <w:shd w:val="clear" w:color="auto" w:fill="FFFFFF"/>
        <w:spacing w:line="360" w:lineRule="auto"/>
        <w:ind w:firstLine="420" w:firstLineChars="200"/>
        <w:jc w:val="left"/>
        <w:rPr>
          <w:rFonts w:ascii="宋体" w:eastAsia="宋体" w:hAnsi="宋体" w:cs="宋体"/>
          <w:kern w:val="0"/>
          <w:sz w:val="24"/>
          <w:szCs w:val="24"/>
          <w:highlight w:val="none"/>
        </w:rPr>
      </w:pPr>
      <w:r>
        <w:rPr>
          <w:rFonts w:ascii="宋体" w:eastAsia="宋体" w:hAnsi="宋体" w:cs="宋体" w:hint="eastAsia"/>
          <w:sz w:val="24"/>
          <w:szCs w:val="24"/>
          <w:highlight w:val="none"/>
        </w:rPr>
        <w:t>针对各类地区及应用场所，由于基站的密集性、用户话务量等不同，建议采用如下直放站的应用原则：</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城市密集区</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由于用户量大，基站数量较多，一般不存在大范围的信号盲区，直放站只是用于解决小范围区域的补盲以及建筑物内的信号覆盖。在光纤到楼尚未普及的情况下，需采用无线直放站。随着建筑物的增多，所需的直放站数量也会随之增加，就会出现一个基站配置多台直放站的情况。</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但直放站的引入必然对基站产生干扰，干扰会随着直放站数量的增多而加大，特别是大功率直放站的引入，会使系统干扰明显加剧。因此，在城市密集区应当采用小功率（1W以下）直放站。</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城市边缘</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无光纤资源时，可利用无线直放站进行延伸覆盖。采用方向性好的施主天线提取较为纯净的源信号，输出功率为5W/10W，等同于基站的输出，达到较好的覆盖效果率。</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郊区、乡村</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郊区、乡村主要是解决覆盖问题。在铺设光纤的地区最好采用大功率光纤直放站（10W/20W）扩大覆盖范围。</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对于无光纤资源但又能收到基站信号的地区，可采用无线直放站解决覆盖问题。特殊情况下，还可采用</w:t>
      </w:r>
      <w:r>
        <w:rPr>
          <w:highlight w:val="none"/>
        </w:rPr>
        <w:fldChar w:fldCharType="begin"/>
      </w:r>
      <w:r>
        <w:rPr>
          <w:highlight w:val="none"/>
        </w:rPr>
        <w:instrText xml:space="preserve"> HYPERLINK "https://baike.baidu.com/item/%E7%A7%BB%E9%A2%91%E7%9B%B4%E6%94%BE%E7%AB%99/6981632" \t "_blank" </w:instrText>
      </w:r>
      <w:r>
        <w:rPr>
          <w:highlight w:val="none"/>
        </w:rPr>
        <w:fldChar w:fldCharType="separate"/>
      </w:r>
      <w:r>
        <w:rPr>
          <w:rStyle w:val="Hyperlink"/>
          <w:rFonts w:ascii="宋体" w:eastAsia="宋体" w:hAnsi="宋体" w:cs="宋体" w:hint="eastAsia"/>
          <w:color w:val="auto"/>
          <w:sz w:val="24"/>
          <w:szCs w:val="24"/>
          <w:highlight w:val="none"/>
          <w:u w:val="none"/>
        </w:rPr>
        <w:t>移频直放站</w:t>
      </w:r>
      <w:r>
        <w:rPr>
          <w:rStyle w:val="Hyperlink"/>
          <w:rFonts w:ascii="宋体" w:eastAsia="宋体" w:hAnsi="宋体" w:cs="宋体" w:hint="eastAsia"/>
          <w:color w:val="auto"/>
          <w:sz w:val="24"/>
          <w:szCs w:val="24"/>
          <w:highlight w:val="none"/>
          <w:u w:val="none"/>
        </w:rPr>
        <w:fldChar w:fldCharType="end"/>
      </w:r>
      <w:r>
        <w:rPr>
          <w:rFonts w:ascii="宋体" w:eastAsia="宋体" w:hAnsi="宋体" w:cs="宋体" w:hint="eastAsia"/>
          <w:sz w:val="24"/>
          <w:szCs w:val="24"/>
          <w:highlight w:val="none"/>
        </w:rPr>
        <w:t>来增加覆盖距离。</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 直放站的应用场合</w:t>
      </w:r>
    </w:p>
    <w:p>
      <w:pPr>
        <w:shd w:val="clear" w:color="auto" w:fill="FFFFFF"/>
        <w:spacing w:line="360" w:lineRule="auto"/>
        <w:ind w:firstLine="420" w:firstLineChars="200"/>
        <w:rPr>
          <w:rFonts w:ascii="宋体" w:eastAsia="宋体" w:hAnsi="宋体" w:cs="宋体"/>
          <w:sz w:val="24"/>
          <w:szCs w:val="24"/>
          <w:highlight w:val="none"/>
        </w:rPr>
      </w:pPr>
      <w:r>
        <w:rPr>
          <w:highlight w:val="none"/>
        </w:rPr>
        <w:fldChar w:fldCharType="begin"/>
      </w:r>
      <w:r>
        <w:rPr>
          <w:highlight w:val="none"/>
        </w:rPr>
        <w:instrText xml:space="preserve"> HYPERLINK "https://baike.baidu.com/item/GSM" \t "_blank" </w:instrText>
      </w:r>
      <w:r>
        <w:rPr>
          <w:highlight w:val="none"/>
        </w:rPr>
        <w:fldChar w:fldCharType="separate"/>
      </w:r>
      <w:r>
        <w:rPr>
          <w:rStyle w:val="Hyperlink"/>
          <w:rFonts w:ascii="宋体" w:eastAsia="宋体" w:hAnsi="宋体" w:cs="宋体" w:hint="eastAsia"/>
          <w:color w:val="auto"/>
          <w:sz w:val="24"/>
          <w:szCs w:val="24"/>
          <w:highlight w:val="none"/>
          <w:u w:val="none"/>
        </w:rPr>
        <w:t>GSM</w:t>
      </w:r>
      <w:r>
        <w:rPr>
          <w:rStyle w:val="Hyperlink"/>
          <w:rFonts w:ascii="宋体" w:eastAsia="宋体" w:hAnsi="宋体" w:cs="宋体" w:hint="eastAsia"/>
          <w:color w:val="auto"/>
          <w:sz w:val="24"/>
          <w:szCs w:val="24"/>
          <w:highlight w:val="none"/>
          <w:u w:val="none"/>
        </w:rPr>
        <w:fldChar w:fldCharType="end"/>
      </w:r>
      <w:r>
        <w:rPr>
          <w:rFonts w:ascii="宋体" w:eastAsia="宋体" w:hAnsi="宋体" w:cs="宋体" w:hint="eastAsia"/>
          <w:sz w:val="24"/>
          <w:szCs w:val="24"/>
          <w:highlight w:val="none"/>
        </w:rPr>
        <w:t>、</w:t>
      </w:r>
      <w:r>
        <w:rPr>
          <w:highlight w:val="none"/>
        </w:rPr>
        <w:fldChar w:fldCharType="begin"/>
      </w:r>
      <w:r>
        <w:rPr>
          <w:highlight w:val="none"/>
        </w:rPr>
        <w:instrText xml:space="preserve"> HYPERLINK "https://baike.baidu.com/item/CDMA" \t "_blank" </w:instrText>
      </w:r>
      <w:r>
        <w:rPr>
          <w:highlight w:val="none"/>
        </w:rPr>
        <w:fldChar w:fldCharType="separate"/>
      </w:r>
      <w:r>
        <w:rPr>
          <w:rStyle w:val="Hyperlink"/>
          <w:rFonts w:ascii="宋体" w:eastAsia="宋体" w:hAnsi="宋体" w:cs="宋体" w:hint="eastAsia"/>
          <w:color w:val="auto"/>
          <w:sz w:val="24"/>
          <w:szCs w:val="24"/>
          <w:highlight w:val="none"/>
          <w:u w:val="none"/>
        </w:rPr>
        <w:t>CDMA</w:t>
      </w:r>
      <w:r>
        <w:rPr>
          <w:rStyle w:val="Hyperlink"/>
          <w:rFonts w:ascii="宋体" w:eastAsia="宋体" w:hAnsi="宋体" w:cs="宋体"/>
          <w:color w:val="auto"/>
          <w:sz w:val="24"/>
          <w:szCs w:val="24"/>
          <w:highlight w:val="none"/>
          <w:u w:val="none"/>
        </w:rPr>
        <w:fldChar w:fldCharType="end"/>
      </w:r>
      <w:r>
        <w:rPr>
          <w:rFonts w:ascii="宋体" w:eastAsia="宋体" w:hAnsi="宋体" w:cs="宋体" w:hint="eastAsia"/>
          <w:sz w:val="24"/>
          <w:szCs w:val="24"/>
          <w:highlight w:val="none"/>
        </w:rPr>
        <w:t>和光纤直放站和室内覆盖系统为各种信号盲区可提供不同的详细解决方案，其适应范围如下：</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扩大服务范围，消除覆盖盲区，如高山，建筑物，树林等阻挡物而形成的信号盲区；</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在郊区增强场强，扩大郊区站的覆盖；</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沿高速公路架设，增强覆盖效率；</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解决室内覆盖，如大型建筑物内信号衰减信号盲区、地下商城、地铁、遂道等衰减信号盲区；</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将空闲基站的信号引到繁忙基站的覆盖区内，实现疏忙；</w:t>
      </w:r>
    </w:p>
    <w:p>
      <w:pPr>
        <w:shd w:val="clear" w:color="auto" w:fill="FFFFFF"/>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其它因屏蔽不能使信号直接穿透之区域等。</w:t>
      </w:r>
    </w:p>
    <w:p>
      <w:pPr>
        <w:spacing w:before="260" w:after="260" w:line="360" w:lineRule="auto"/>
        <w:ind w:firstLine="420" w:firstLineChars="200"/>
        <w:outlineLvl w:val="2"/>
        <w:rPr>
          <w:rFonts w:ascii="宋体" w:eastAsia="宋体" w:hAnsi="宋体" w:cs="宋体"/>
          <w:b/>
          <w:sz w:val="28"/>
          <w:szCs w:val="28"/>
          <w:highlight w:val="none"/>
        </w:rPr>
      </w:pPr>
      <w:bookmarkStart w:id="123" w:name="_Toc20065"/>
      <w:r>
        <w:rPr>
          <w:rFonts w:ascii="宋体" w:eastAsia="宋体" w:hAnsi="宋体" w:cs="宋体" w:hint="eastAsia"/>
          <w:b/>
          <w:sz w:val="28"/>
          <w:szCs w:val="28"/>
          <w:highlight w:val="none"/>
        </w:rPr>
        <w:t>二、微站</w:t>
      </w:r>
      <w:bookmarkEnd w:id="123"/>
    </w:p>
    <w:p>
      <w:pPr>
        <w:pStyle w:val="ListParagraph"/>
        <w:shd w:val="clear" w:color="auto" w:fill="FFFFFF"/>
        <w:spacing w:line="360" w:lineRule="auto"/>
        <w:ind w:firstLine="480"/>
        <w:rPr>
          <w:rFonts w:ascii="宋体" w:eastAsia="宋体" w:hAnsi="宋体" w:cs="宋体"/>
          <w:sz w:val="24"/>
          <w:szCs w:val="24"/>
          <w:highlight w:val="none"/>
        </w:rPr>
      </w:pPr>
      <w:r>
        <w:rPr>
          <w:rFonts w:ascii="宋体" w:eastAsia="宋体" w:hAnsi="宋体" w:cs="宋体" w:hint="eastAsia"/>
          <w:sz w:val="24"/>
          <w:szCs w:val="24"/>
          <w:highlight w:val="none"/>
        </w:rPr>
        <w:t>微站因体积小，重量轻，集成度高，传输方式及供电方式灵活等特点，在网络覆盖建设中具有一定优势，可以作为覆盖盲区的补充，微站的主要优势有：</w:t>
      </w:r>
    </w:p>
    <w:p>
      <w:pPr>
        <w:pStyle w:val="ListParagraph"/>
        <w:shd w:val="clear" w:color="auto" w:fill="FFFFFF"/>
        <w:spacing w:line="360" w:lineRule="auto"/>
        <w:ind w:left="420" w:firstLine="0" w:leftChars="200" w:firstLineChars="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1、安装方便、灵活</w:t>
      </w:r>
    </w:p>
    <w:p>
      <w:pPr>
        <w:shd w:val="clear" w:color="auto" w:fill="FFFFFF"/>
        <w:spacing w:line="360" w:lineRule="auto"/>
        <w:ind w:firstLine="420" w:firstLineChars="20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相对传统的宏基站建设来说，其对于天面、机房的要求相对降低，有效减少了配套设备、设施建设需求，从而使得其建设成本降低。另外，传统宏基站建设中，随着民众环保意识的提高，站址获取困难。LTE网络建设进度得不到保证。而微基站的高度集成设计，使得其相对传统宏基站来说，安装方式更加多样化，适用于室内外各种应用场景。</w:t>
      </w:r>
    </w:p>
    <w:p>
      <w:pPr>
        <w:pStyle w:val="ListParagraph"/>
        <w:shd w:val="clear" w:color="auto" w:fill="FFFFFF"/>
        <w:spacing w:line="360" w:lineRule="auto"/>
        <w:ind w:firstLine="48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2、可充分利用现有站址及社会资源杆塔资源</w:t>
      </w:r>
    </w:p>
    <w:p>
      <w:pPr>
        <w:shd w:val="clear" w:color="auto" w:fill="FFFFFF"/>
        <w:spacing w:line="360" w:lineRule="auto"/>
        <w:ind w:firstLine="420" w:firstLineChars="20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城市中大量分布着路灯杆、监控杆，同时各家运营商自身也有大量的如小灵通站址等室外简易站址，微基站因本身的特点，可以充分利用如路灯杆、监控杆、小灵通站址、居民墙面，实现低成本灵活部署。</w:t>
      </w:r>
    </w:p>
    <w:p>
      <w:pPr>
        <w:shd w:val="clear" w:color="auto" w:fill="FFFFFF"/>
        <w:spacing w:line="360" w:lineRule="auto"/>
        <w:ind w:firstLine="420" w:firstLineChars="20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3、微基站的多样性</w:t>
      </w:r>
    </w:p>
    <w:p>
      <w:pPr>
        <w:shd w:val="clear" w:color="auto" w:fill="FFFFFF"/>
        <w:spacing w:line="360" w:lineRule="auto"/>
        <w:ind w:firstLine="420" w:firstLineChars="200"/>
        <w:rPr>
          <w:rFonts w:ascii="宋体" w:eastAsia="宋体" w:hAnsi="宋体" w:cs="宋体"/>
          <w:sz w:val="24"/>
          <w:szCs w:val="24"/>
          <w:highlight w:val="none"/>
          <w:shd w:val="clear" w:color="auto" w:fill="FFFFFF"/>
        </w:rPr>
      </w:pPr>
      <w:r>
        <w:rPr>
          <w:rFonts w:ascii="宋体" w:eastAsia="宋体" w:hAnsi="宋体" w:cs="宋体" w:hint="eastAsia"/>
          <w:sz w:val="24"/>
          <w:szCs w:val="24"/>
          <w:highlight w:val="none"/>
          <w:shd w:val="clear" w:color="auto" w:fill="FFFFFF"/>
        </w:rPr>
        <w:t>根据各个场景下对于网络的不同覆盖要求，微基站也具有不同的种类来对其进行满足。如针对热点区域，微基站可以用于分担话务，解决容量问题。这是宏基站所不能达到的一个绝对性优势。</w:t>
      </w:r>
    </w:p>
    <w:p>
      <w:pPr>
        <w:spacing w:before="260" w:after="260" w:line="360" w:lineRule="auto"/>
        <w:ind w:firstLine="420" w:firstLineChars="200"/>
        <w:outlineLvl w:val="2"/>
        <w:rPr>
          <w:rFonts w:ascii="宋体" w:eastAsia="宋体" w:hAnsi="宋体" w:cs="宋体"/>
          <w:b/>
          <w:sz w:val="28"/>
          <w:szCs w:val="28"/>
          <w:highlight w:val="none"/>
        </w:rPr>
      </w:pPr>
      <w:bookmarkStart w:id="124" w:name="_Toc12954"/>
      <w:r>
        <w:rPr>
          <w:rFonts w:ascii="宋体" w:eastAsia="宋体" w:hAnsi="宋体" w:cs="宋体" w:hint="eastAsia"/>
          <w:b/>
          <w:sz w:val="28"/>
          <w:szCs w:val="28"/>
          <w:highlight w:val="none"/>
        </w:rPr>
        <w:t>三、室内分布系统</w:t>
      </w:r>
      <w:bookmarkEnd w:id="124"/>
    </w:p>
    <w:p>
      <w:pPr>
        <w:spacing w:line="360" w:lineRule="auto"/>
        <w:ind w:firstLine="420" w:firstLineChars="200"/>
        <w:rPr>
          <w:rFonts w:ascii="宋体" w:eastAsia="宋体" w:hAnsi="宋体" w:cs="宋体"/>
          <w:highlight w:val="none"/>
        </w:rPr>
      </w:pPr>
      <w:r>
        <w:rPr>
          <w:rFonts w:ascii="宋体" w:eastAsia="宋体" w:hAnsi="宋体" w:cs="宋体" w:hint="eastAsia"/>
          <w:sz w:val="24"/>
          <w:szCs w:val="24"/>
          <w:highlight w:val="none"/>
          <w:shd w:val="clear" w:color="auto" w:fill="FFFFFF"/>
        </w:rPr>
        <w:t>室内分布系统是用于改善建筑物内移动通信环境的一种方案，其原理是通过各种室内天线将移动通信基站的信号均匀地分布到室内的每个角落，从而保证室内区域理想的信号覆盖。</w:t>
      </w:r>
    </w:p>
    <w:p>
      <w:pPr>
        <w:spacing w:line="360" w:lineRule="auto"/>
        <w:ind w:firstLine="420" w:firstLineChars="200"/>
        <w:rPr>
          <w:rFonts w:ascii="宋体" w:eastAsia="宋体" w:hAnsi="宋体" w:cs="宋体"/>
          <w:sz w:val="32"/>
          <w:szCs w:val="32"/>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125" w:name="_Toc4930"/>
      <w:r>
        <w:rPr>
          <w:rFonts w:ascii="宋体" w:eastAsia="宋体" w:hAnsi="宋体" w:cs="宋体" w:hint="eastAsia"/>
          <w:sz w:val="32"/>
          <w:szCs w:val="32"/>
          <w:highlight w:val="none"/>
        </w:rPr>
        <w:t>第十五章 投资估算</w:t>
      </w:r>
      <w:bookmarkEnd w:id="125"/>
    </w:p>
    <w:p>
      <w:pPr>
        <w:spacing w:before="260" w:after="260" w:line="360" w:lineRule="auto"/>
        <w:ind w:firstLine="420" w:firstLineChars="200"/>
        <w:outlineLvl w:val="2"/>
        <w:rPr>
          <w:rFonts w:ascii="宋体" w:eastAsia="宋体" w:hAnsi="宋体" w:cs="宋体"/>
          <w:b/>
          <w:sz w:val="28"/>
          <w:szCs w:val="28"/>
          <w:highlight w:val="none"/>
        </w:rPr>
      </w:pPr>
      <w:bookmarkStart w:id="126" w:name="_Toc7808"/>
      <w:bookmarkStart w:id="127" w:name="_Toc7902"/>
      <w:bookmarkStart w:id="128" w:name="_Toc30972"/>
      <w:r>
        <w:rPr>
          <w:rFonts w:ascii="宋体" w:eastAsia="宋体" w:hAnsi="宋体" w:cs="宋体" w:hint="eastAsia"/>
          <w:b/>
          <w:sz w:val="28"/>
          <w:szCs w:val="28"/>
          <w:highlight w:val="none"/>
        </w:rPr>
        <w:t>一、估算依据</w:t>
      </w:r>
      <w:bookmarkEnd w:id="126"/>
      <w:bookmarkEnd w:id="127"/>
      <w:bookmarkEnd w:id="128"/>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1、原邮电部，《邮电通信建设项目经济评价方法与参数》；</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2、工信部通信【2016】451号《工业和信息化部关于印发信息通信建设工程预算定额、工程费用定额及工程概预算编制规程的通知》；</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3、2017年5月1日起施行的《信息通信建设工程费用定额》、《信息通信建和工程概预算编制规程》、《信息通信建设工程预算定额》（共五册）；</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4、财政部、国家发改委《关于公布取消和停止征收100项行政事业性收费项目的通知》（财综〔2008〕78号）；</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5、工信部发布的关于《无源光网络（PON）等通信建设工程》补充定额（工信部通[2011]426号）；</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6、《国家发展改革委关于放开部分建设项目服务收费标准有关问题的通知》（发改价格[2014]1573号）；</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7、项目建设管理费参见《关于印发《基本建设项目建设成本管理规定》的通知》财建[2016]504号”；</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8、财会【2002】17号，《电信企业会计核算办法》，2002年9月22日；</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9、建设单位提供的前期工程设备材料合同价格及5G设备询价结果；</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10、国家现行的财税制度；</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11、本项目所在地物价水平、物价指数与所在地政府相关规定。</w:t>
      </w:r>
    </w:p>
    <w:p>
      <w:pPr>
        <w:spacing w:line="360" w:lineRule="auto"/>
        <w:ind w:firstLine="420" w:firstLineChars="200"/>
        <w:jc w:val="left"/>
        <w:rPr>
          <w:rFonts w:ascii="宋体" w:eastAsia="宋体" w:hAnsi="宋体" w:cs="宋体"/>
          <w:sz w:val="24"/>
          <w:szCs w:val="24"/>
          <w:highlight w:val="none"/>
        </w:rPr>
      </w:pPr>
    </w:p>
    <w:p>
      <w:pPr>
        <w:spacing w:line="360" w:lineRule="auto"/>
        <w:ind w:firstLine="420" w:firstLineChars="200"/>
        <w:jc w:val="left"/>
        <w:rPr>
          <w:rFonts w:ascii="宋体" w:eastAsia="宋体" w:hAnsi="宋体" w:cs="宋体"/>
          <w:sz w:val="24"/>
          <w:szCs w:val="24"/>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129" w:name="_Toc13717"/>
      <w:r>
        <w:rPr>
          <w:rFonts w:ascii="宋体" w:eastAsia="宋体" w:hAnsi="宋体" w:cs="宋体" w:hint="eastAsia"/>
          <w:sz w:val="32"/>
          <w:szCs w:val="32"/>
          <w:highlight w:val="none"/>
        </w:rPr>
        <w:t>第十六章 环境保护规划</w:t>
      </w:r>
      <w:bookmarkEnd w:id="129"/>
    </w:p>
    <w:p>
      <w:pPr>
        <w:pStyle w:val="Heading3"/>
        <w:spacing w:line="360" w:lineRule="auto"/>
        <w:ind w:firstLine="420" w:firstLineChars="200"/>
        <w:rPr>
          <w:rFonts w:ascii="宋体" w:eastAsia="宋体" w:hAnsi="宋体" w:cs="宋体"/>
          <w:sz w:val="28"/>
          <w:szCs w:val="28"/>
          <w:highlight w:val="none"/>
        </w:rPr>
      </w:pPr>
      <w:bookmarkStart w:id="130" w:name="_Toc17558"/>
      <w:bookmarkStart w:id="131" w:name="_Toc448064633"/>
      <w:r>
        <w:rPr>
          <w:rFonts w:ascii="宋体" w:eastAsia="宋体" w:hAnsi="宋体" w:cs="宋体" w:hint="eastAsia"/>
          <w:sz w:val="28"/>
          <w:szCs w:val="28"/>
          <w:highlight w:val="none"/>
        </w:rPr>
        <w:t>一、环境保护规划依据</w:t>
      </w:r>
      <w:bookmarkEnd w:id="130"/>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通信设备对环境可能产生的污染一是电磁污染，二是蓄电池酸污染。由于本工程采用阀控式密封铅酸电池，不会漏酸，蓄电池在充放电时无酸雾溢出，对环境无污染。至于电 磁污染则要求在工程设计中选用符合国家环保局发布的GB8702-88规定要求。</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电磁辐射：</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根据中华人民共和国国家标准《电磁辐射防护规定》，(国标GB8702－88)，电磁辐射的限值为：</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公众照射：在一天24小时内，环境电磁辐射的场量参数在任意连续6分钟内的平均功率密度应＜0.4W/m2(频率为30～3000MHz)。</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专业照射：在一天8小时工作时间内，电磁辐射功率密度的平均值(在任意连续6分钟内)应＜2W/m2(频率为30～3000MHz)。</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对电磁辐射源可以免于管理的要求为：</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（1）输出功率等于和小于15W的移动式无线电通讯设备。</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（2）频率为3～300000MHz时，向没有屏蔽空间的等效辐射功率小于100W的辐射体。</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本期工程各基站电磁辐射满足公众照射防护要求或满足电磁辐射源的豁免权要求。</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废水、废气与噪音：</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根据“GBJ4－73”工业“三废”排放试行标准，“废水”硫化物控制为1毫克/升，“废气”的硫酸雾根据排放口高度不同分为60毫克/立方米及600毫克/立方米。移动机房内的电池组现均已采用免维护密封蓄电池，正常情况下无酸雾溢出，不产生废气；电池组基本杜绝了漏液现象，机房地面也不需要水洗，不产生“废水”。可实现对环境无污染，满足的“三废”排放标准要求。</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对于噪声超标的局站，应采取消噪措施以达到环保部门对噪音指标的要求。</w:t>
      </w:r>
    </w:p>
    <w:p>
      <w:pPr>
        <w:pStyle w:val="Heading3"/>
        <w:spacing w:line="360" w:lineRule="auto"/>
        <w:ind w:firstLine="420" w:firstLineChars="200"/>
        <w:rPr>
          <w:rFonts w:ascii="宋体" w:eastAsia="宋体" w:hAnsi="宋体" w:cs="宋体"/>
          <w:sz w:val="28"/>
          <w:szCs w:val="28"/>
          <w:highlight w:val="none"/>
        </w:rPr>
      </w:pPr>
      <w:bookmarkStart w:id="132" w:name="_Toc24260"/>
      <w:r>
        <w:rPr>
          <w:rFonts w:ascii="宋体" w:eastAsia="宋体" w:hAnsi="宋体" w:cs="宋体" w:hint="eastAsia"/>
          <w:sz w:val="28"/>
          <w:szCs w:val="28"/>
          <w:highlight w:val="none"/>
        </w:rPr>
        <w:t>二、环境保护规划原则</w:t>
      </w:r>
      <w:bookmarkEnd w:id="132"/>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在通信建设的过程中应注意对生态环境的保护，遵循以下几点原则：</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1、通信局(站)选址和通信线路路由选取应尽量减少占用耕地、林地和草地。</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2、选择通信线路路由时，应尽量减少对沙化土地、水土流失地区、饮用水源保护区和其他生态敏感与脆弱区的影响。</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通信线路建设中应注意保护沿线植被，尽量减少林木砍伐和对天然植被的破坏。在地表植被难以自然恢复的生态脆弱区，施工前应将作业面的自然植被与表土层一起整块移走，并妥善养护，施工后再移回原处。</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4、在山区、丘陵区、风沙区敷设的埋地管道、缆线，应根据实际情况采取有效的水土保持措施，以防止水土流失。</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5、通信工程建设中不得砍伐或危害国家重点保护的野生植物。未经主管部门批准，严禁砍伐名胜古迹和革命纪念地的林木。</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6、在项目施工期，为施工人员搭建的临时生活设施宜避免占用耕地，产生的生活污水和生活垃圾不得随意排放或丢弃，应按环保部门要求妥善处置。</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7、建设施工中，应采用喷水、覆盖等有效措施控制扬尘；并防止临时堆放的土方、砂石被雨水冲走，造成水土流失破坏环境。</w:t>
      </w:r>
    </w:p>
    <w:p>
      <w:pPr>
        <w:pStyle w:val="Heading3"/>
        <w:spacing w:line="360" w:lineRule="auto"/>
        <w:ind w:firstLine="420" w:firstLineChars="200"/>
        <w:rPr>
          <w:rFonts w:ascii="宋体" w:eastAsia="宋体" w:hAnsi="宋体" w:cs="宋体"/>
          <w:sz w:val="28"/>
          <w:szCs w:val="28"/>
          <w:highlight w:val="none"/>
        </w:rPr>
      </w:pPr>
      <w:bookmarkStart w:id="133" w:name="_Toc11997"/>
      <w:r>
        <w:rPr>
          <w:rFonts w:ascii="宋体" w:eastAsia="宋体" w:hAnsi="宋体" w:cs="宋体" w:hint="eastAsia"/>
          <w:sz w:val="28"/>
          <w:szCs w:val="28"/>
          <w:highlight w:val="none"/>
        </w:rPr>
        <w:fldChar w:fldCharType="begin"/>
      </w:r>
      <w:r>
        <w:rPr>
          <w:rFonts w:ascii="宋体" w:eastAsia="宋体" w:hAnsi="宋体" w:cs="宋体" w:hint="eastAsia"/>
          <w:sz w:val="28"/>
          <w:szCs w:val="28"/>
          <w:highlight w:val="none"/>
        </w:rPr>
        <w:instrText xml:space="preserve"> HYPERLINK \l "_Toc435729327" </w:instrText>
      </w:r>
      <w:r>
        <w:rPr>
          <w:rFonts w:ascii="宋体" w:eastAsia="宋体" w:hAnsi="宋体" w:cs="宋体" w:hint="eastAsia"/>
          <w:sz w:val="28"/>
          <w:szCs w:val="28"/>
          <w:highlight w:val="none"/>
        </w:rPr>
        <w:fldChar w:fldCharType="separate"/>
      </w:r>
      <w:r>
        <w:rPr>
          <w:rFonts w:ascii="宋体" w:eastAsia="宋体" w:hAnsi="宋体" w:cs="宋体" w:hint="eastAsia"/>
          <w:sz w:val="28"/>
          <w:szCs w:val="28"/>
          <w:highlight w:val="none"/>
        </w:rPr>
        <w:t>三、</w:t>
      </w:r>
      <w:r>
        <w:rPr>
          <w:rFonts w:ascii="宋体" w:eastAsia="宋体" w:hAnsi="宋体" w:cs="宋体" w:hint="eastAsia"/>
          <w:sz w:val="28"/>
          <w:szCs w:val="28"/>
          <w:highlight w:val="none"/>
        </w:rPr>
        <w:fldChar w:fldCharType="end"/>
      </w:r>
      <w:r>
        <w:rPr>
          <w:highlight w:val="none"/>
        </w:rPr>
        <w:fldChar w:fldCharType="begin"/>
      </w:r>
      <w:r>
        <w:rPr>
          <w:highlight w:val="none"/>
        </w:rPr>
        <w:instrText xml:space="preserve"> HYPERLINK \l "_Toc435729328" </w:instrText>
      </w:r>
      <w:r>
        <w:rPr>
          <w:highlight w:val="none"/>
        </w:rPr>
        <w:fldChar w:fldCharType="separate"/>
      </w:r>
      <w:r>
        <w:rPr>
          <w:rFonts w:ascii="宋体" w:eastAsia="宋体" w:hAnsi="宋体" w:cs="宋体" w:hint="eastAsia"/>
          <w:sz w:val="28"/>
          <w:szCs w:val="28"/>
          <w:highlight w:val="none"/>
        </w:rPr>
        <w:t>工程对环境的影响</w:t>
      </w:r>
      <w:r>
        <w:rPr>
          <w:rFonts w:ascii="宋体" w:eastAsia="宋体" w:hAnsi="宋体" w:cs="宋体" w:hint="eastAsia"/>
          <w:sz w:val="28"/>
          <w:szCs w:val="28"/>
          <w:highlight w:val="none"/>
        </w:rPr>
        <w:tab/>
      </w:r>
      <w:r>
        <w:rPr>
          <w:rFonts w:ascii="宋体" w:eastAsia="宋体" w:hAnsi="宋体" w:cs="宋体" w:hint="eastAsia"/>
          <w:sz w:val="28"/>
          <w:szCs w:val="28"/>
          <w:highlight w:val="none"/>
        </w:rPr>
        <w:fldChar w:fldCharType="end"/>
      </w:r>
      <w:bookmarkEnd w:id="133"/>
    </w:p>
    <w:p>
      <w:pPr>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铁塔公司在建设5G基站时将会有专业的公司进行环境监测评估并出具报告，得到相关部门许可后方可进行正常的运营，相对于传统行业，如化工、建筑、能源等，5G建设多在原有站点上的基础上进行扩容建设，且未来的新建站址多以利用现有社会资源为主，如路灯杆塔、电力杆塔等，加之响应国家号召节能减排，5G技术的不断创新以及发展，所以说，</w:t>
      </w:r>
      <w:r>
        <w:rPr>
          <w:rStyle w:val="Strong"/>
          <w:rFonts w:ascii="宋体" w:eastAsia="宋体" w:hAnsi="宋体" w:cs="宋体" w:hint="eastAsia"/>
          <w:b w:val="0"/>
          <w:sz w:val="24"/>
          <w:szCs w:val="24"/>
          <w:highlight w:val="none"/>
        </w:rPr>
        <w:t>5G建设对生态环境的影响微乎其微。</w:t>
      </w:r>
    </w:p>
    <w:p>
      <w:pPr>
        <w:pStyle w:val="a1"/>
        <w:spacing w:before="0"/>
        <w:ind w:firstLine="420" w:firstLineChars="200"/>
        <w:rPr>
          <w:rFonts w:eastAsia="宋体" w:cs="宋体"/>
          <w:highlight w:val="none"/>
        </w:rPr>
      </w:pPr>
      <w:r>
        <w:rPr>
          <w:rFonts w:eastAsia="宋体" w:cs="宋体" w:hint="eastAsia"/>
          <w:highlight w:val="none"/>
        </w:rPr>
        <w:t>5G基站建设工程采用的5G设备和材料，应在国家环保局发布的相关规定（GB8702-88）范围之内，不得对周围环境产生不良影响。</w:t>
      </w:r>
    </w:p>
    <w:p>
      <w:pPr>
        <w:pStyle w:val="Heading3"/>
        <w:spacing w:line="368" w:lineRule="auto"/>
        <w:ind w:firstLine="420" w:firstLineChars="200"/>
        <w:rPr>
          <w:rFonts w:ascii="宋体" w:eastAsia="宋体" w:hAnsi="宋体" w:cs="宋体"/>
          <w:sz w:val="28"/>
          <w:szCs w:val="28"/>
          <w:highlight w:val="none"/>
        </w:rPr>
      </w:pPr>
      <w:bookmarkStart w:id="134" w:name="_Toc17947"/>
      <w:r>
        <w:rPr>
          <w:rFonts w:ascii="宋体" w:eastAsia="宋体" w:hAnsi="宋体" w:cs="宋体" w:hint="eastAsia"/>
          <w:sz w:val="28"/>
          <w:szCs w:val="28"/>
          <w:highlight w:val="none"/>
        </w:rPr>
        <w:t>四、节能减排</w:t>
      </w:r>
      <w:bookmarkEnd w:id="131"/>
      <w:r>
        <w:rPr>
          <w:rFonts w:ascii="宋体" w:eastAsia="宋体" w:hAnsi="宋体" w:cs="宋体" w:hint="eastAsia"/>
          <w:sz w:val="28"/>
          <w:szCs w:val="28"/>
          <w:highlight w:val="none"/>
        </w:rPr>
        <w:t>方式</w:t>
      </w:r>
      <w:bookmarkEnd w:id="134"/>
    </w:p>
    <w:p>
      <w:pPr>
        <w:pStyle w:val="a1"/>
        <w:spacing w:before="0" w:line="368" w:lineRule="auto"/>
        <w:ind w:firstLine="420" w:firstLineChars="200"/>
        <w:rPr>
          <w:rFonts w:eastAsia="宋体" w:cs="宋体"/>
          <w:highlight w:val="none"/>
        </w:rPr>
      </w:pPr>
      <w:r>
        <w:rPr>
          <w:rFonts w:eastAsia="宋体" w:cs="宋体" w:hint="eastAsia"/>
          <w:highlight w:val="none"/>
        </w:rPr>
        <w:t>电能的节约是电信运营企业节能减排最核心的环节。机房、基站和办公营业设施的耗电必须要考虑节约手段。</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1、通过管理节能，通过科学的技术分析，合理设置机房和基站的空调温度，可以有效降低空调运行时间，从而可以达到很好的节能效果。</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2、从技术上节能，可开展智能通风的改造，节能效果非常理想。另外智能热交换系统也能大大降低基站的温度，同样可以实现降低基站温度，减少空调运行时间的目的。</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除了上述影响空调耗电的技术改造之外，通过对建筑的改造也可以实现空调节能。目前，比较成熟的建筑节能措施有：</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1、减少建筑物的体形系数。所谓的建筑物体形系数就是指建筑物与室外大气接触的外表面积与外表面积所包围的建筑体积之比。</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2、冬季遮阳，减少室内的热损失；夏季遮阳，使室外的热量进不到室内，从而降低空调的耗能。</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3、减小窗墙面积比。</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4、屋面加强保温层。</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5、外墙加强保温层。</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6、选用节能外门窗。</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7、注意照明节能。如采购更加节能的节能灯，合理设计单位照明功耗。</w:t>
      </w:r>
    </w:p>
    <w:p>
      <w:pPr>
        <w:widowControl/>
        <w:spacing w:line="368"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8、在具备技术可行性和经济合理性的情况下，主要在工程中宜采用合理的节能手段降低电力消耗，例如采购低功耗的通信设备和空调、减少窗面积、进室孔洞的密封、选用节能外门窗并确保关闭严实、采购更加节能的节能灯等。在工程建设中，注意节约用电、用水；并且充分保护土地资源，节省建设用地；工程中用的设备材料工器具应满足各相关行业的节能降耗标准。</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另外在工程规划建设中通过以下措施：</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1、推进基站共建共享</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通过统一规划，分步实施，提高基站共建共享率，减少基站重复建设，才能最大程度地节约土地资源和基站能耗。规划期间，基站建设必须共建共享，实现2030年的共建共享率达到80%的目标，实现基站建设节地减排。</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2、移动通信机房</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提倡采取共用机房形式提高通信机房使用率。</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新建机房选址优先选择市电引入方便的区域。</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机房的照明设备提倡使用节能灯具。</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机房墙体、门窗、屋面、地面可以考虑采取相关节能措施，保证建筑的节能效果。</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3、空调</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空调设备的选择要合理，根据基站具体情况确定空调的规格、型号，选择整体技术性能高的空调设备。</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空调设备安装方式要合理。如室内机的安装位置应考虑气流组织合理，避免气流短路；室外机布置应注意朝向，考虑遮阳措施，避免西晒，同时室外机的通风应顺畅，保证散热效果。</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加强空调系统日常维护管理，以保证空调设备高效运行。</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4、电源系统</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新建基站配套电源设备积极采用绿色节能型电源系统，杜绝低效高耗设备入网。</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对现有基站部分低效、故障率高、超期服役等老旧电源设备进行更换。</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新建基站配套电源设备精确化配置，在充分保障供电安全前提下，尽量缩减设备配置，减少不必要冗余。</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积极推进与蓄电池厂家合作绿色回收行动和部分可利用蓄电池修复工作。</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5、主设备</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尽量降低主设备耗电量。建议采用节能型通信设备；</w:t>
      </w:r>
    </w:p>
    <w:p>
      <w:pPr>
        <w:widowControl/>
        <w:spacing w:line="372"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已有高耗能设备各运营商可自主进行相关技术改造。</w:t>
      </w:r>
      <w:bookmarkStart w:id="135" w:name="_Toc421799733"/>
      <w:bookmarkStart w:id="136" w:name="_Toc448064635"/>
    </w:p>
    <w:p>
      <w:pPr>
        <w:pStyle w:val="Heading3"/>
        <w:spacing w:line="360" w:lineRule="auto"/>
        <w:rPr>
          <w:rFonts w:ascii="宋体" w:eastAsia="宋体" w:hAnsi="宋体" w:cs="宋体"/>
          <w:sz w:val="28"/>
          <w:szCs w:val="28"/>
          <w:highlight w:val="none"/>
        </w:rPr>
      </w:pPr>
      <w:bookmarkStart w:id="137" w:name="_Toc32627"/>
      <w:r>
        <w:rPr>
          <w:rFonts w:ascii="宋体" w:eastAsia="宋体" w:hAnsi="宋体" w:cs="宋体" w:hint="eastAsia"/>
          <w:sz w:val="28"/>
          <w:szCs w:val="28"/>
          <w:highlight w:val="none"/>
        </w:rPr>
        <w:t>五、电磁辐射措施与社会风险管理</w:t>
      </w:r>
      <w:bookmarkEnd w:id="135"/>
      <w:bookmarkEnd w:id="136"/>
      <w:bookmarkEnd w:id="137"/>
    </w:p>
    <w:p>
      <w:pPr>
        <w:widowControl/>
        <w:spacing w:line="360" w:lineRule="auto"/>
        <w:ind w:firstLine="420" w:firstLineChars="200"/>
        <w:rPr>
          <w:rFonts w:ascii="宋体" w:eastAsia="宋体" w:hAnsi="宋体" w:cs="宋体"/>
          <w:sz w:val="24"/>
          <w:szCs w:val="24"/>
          <w:highlight w:val="none"/>
        </w:rPr>
      </w:pPr>
      <w:bookmarkStart w:id="138" w:name="_Toc421799739"/>
      <w:r>
        <w:rPr>
          <w:rFonts w:ascii="宋体" w:eastAsia="宋体" w:hAnsi="宋体" w:cs="宋体" w:hint="eastAsia"/>
          <w:sz w:val="24"/>
          <w:szCs w:val="24"/>
          <w:highlight w:val="none"/>
        </w:rPr>
        <w:t>1、电磁辐射标准</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移动基站建设应按要求进行电磁辐射环境影响评价，并通过环保部门的审批。移动通信电磁辐射控制标准应执行《电磁环境控制限值》（GB8702-2014）。为控制基站所致公众曝露，环境中基站参数的方均根值应满足《电磁环境控制限值》（GB8702-2014）的要求。</w:t>
      </w:r>
    </w:p>
    <w:p>
      <w:pPr>
        <w:widowControl/>
        <w:spacing w:line="360" w:lineRule="auto"/>
        <w:ind w:firstLine="420" w:firstLineChars="200"/>
        <w:rPr>
          <w:rFonts w:ascii="宋体" w:eastAsia="宋体" w:hAnsi="宋体" w:cs="宋体"/>
          <w:sz w:val="24"/>
          <w:szCs w:val="24"/>
          <w:highlight w:val="none"/>
        </w:rPr>
      </w:pPr>
      <w:bookmarkEnd w:id="138"/>
      <w:r>
        <w:rPr>
          <w:rFonts w:ascii="宋体" w:eastAsia="宋体" w:hAnsi="宋体" w:cs="宋体" w:hint="eastAsia"/>
          <w:sz w:val="24"/>
          <w:szCs w:val="24"/>
          <w:highlight w:val="none"/>
        </w:rPr>
        <w:t>2、社会风险管理</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规划设计：一是设计阶段对各个规划站址的电磁环境进行评估，通过评估的方能建设。二是根据基站周边的环境来确定基站的社会风险，红色站址须预先与当地社区进行正式的沟通，黄色的站址则宜进行密切监控，并关注公众对基站担忧的变化情况。</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建设：网络建设时在基站周边应设置明显的安全范围标志或防护隔离设施。</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运营：在网络建成后，应由具备相关资质的单位对站址进行周期性的电磁辐射监测，并出具监测报告。 </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3、建立电磁辐射环境保护管理制度</w:t>
      </w:r>
    </w:p>
    <w:p>
      <w:pPr>
        <w:widowControl/>
        <w:spacing w:line="360" w:lineRule="auto"/>
        <w:ind w:firstLine="420" w:firstLineChars="200"/>
        <w:rPr>
          <w:rFonts w:ascii="宋体" w:eastAsia="宋体" w:hAnsi="宋体" w:cs="宋体"/>
          <w:sz w:val="24"/>
          <w:szCs w:val="24"/>
          <w:highlight w:val="none"/>
        </w:rPr>
      </w:pPr>
      <w:bookmarkStart w:id="139" w:name="_Toc421799740"/>
      <w:r>
        <w:rPr>
          <w:rFonts w:ascii="宋体" w:eastAsia="宋体" w:hAnsi="宋体" w:cs="宋体" w:hint="eastAsia"/>
          <w:sz w:val="24"/>
          <w:szCs w:val="24"/>
          <w:highlight w:val="none"/>
        </w:rPr>
        <w:t>为加强环境管理，运营商应成立基站工程电磁环境工作管理小组，负责组织开展各期移动通信基站工程的环境影响评价及竣工环境保护验收工作，对移动通信基站工程的合理规划，建设及运行进行监督管理。</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4、沟通管理</w:t>
      </w:r>
      <w:bookmarkEnd w:id="139"/>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（1）给社区、业主委员会、学校的信，介绍站址设置的各种方案、对电磁辐射环境的评估结果及设站规划情况。 </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（2）站点公示，在居民区、学校及医院周边设置的基站，应进行公示。说明设站情况和电磁环境情况。 </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（3）面对面的宣传，普及基站及移动通信基本知识。 </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（4）通过新闻媒体进行宣传。</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5、公众参与组织形式</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根据收集群众反应的问题，提出相关的措施和建议，减轻建设项目对当地环境的影响，减少建设项目引起的环境纠纷。公众参与工作应严格依据《中华人民共和国环境影响评价法》（2003年9月1日期实施），《环境影响公众参与暂行办法》（2006年3月18日起实施）的要求组织开展。</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6、纠纷及纠纷处理</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（1）方案一：基站未出现辐射超标并且运营商均已通过环评</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基站未出现超标并且共建共享运营商均已通过环评情况下产生的纠纷，通常主要采取沟通的方式，使公众比较客观的角度认知和了解基站电磁辐射，消除不必要的担忧和恐慌；对于已经出现的负面效应的公众，提供物质帮助协助其寻找负面效应的根源，以实际行动树立运营良好的社会形象。</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（2）方案二：基站电磁辐射超标但各运营商均通过环评</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随着基站周围环境的改变，这里包括建筑物、绿化程度等客观因素的改变，另外，近几年移动通信业务的飞速发展，用户数量迅猛增长，也逐渐成为基站安全隐患的诱发因素之一。在以上种种因素的影响下，基站的电磁辐射濒临超标的危险。当纠纷发生时，基站超标，但运营商确已通过环评，处理该情况需注意两点：</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首先明确责任方，为了最大程度上简化流程和提高工作效率，建议运营商先进行自查来确定超标的责任方。超标情况可以分为三种类型：即：A运营商超标、其他运营商超标、双方均超标；确认出责任方后，有责任方进行内部整改，整改后环保部分将再次组织先关的检测机构对基站进行检测，判定基站辐射辐射剂量是否满足国家相关标准判定，如果不符合将继续由运营会审上进行自查和整改。</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（3）方案三：基站未出现辐射超标但不（完全）满足目前政府的各种法律和技术手续</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对于共建共享基站总体未出现辐射超标，旦个别或全部运营商缺少基站电磁岎环评相关法律和技术手续的情况，建议处理公众纠纷的原则如下：</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纠纷出现后查找共建共享运营商是否通过环评测试，如果存在在未通过环评测试的运营商，则由该运营商按照国家颁发的《电磁辐射环境保护管理办法》履行环评程序，补办相关法律和技术手续，再次期间，已通过环评测试的运营商进行配合工作。</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在配合工作期间，队已通过环评测试的运营商造成经济损失的，已通过环评测试的运营商可商情未通过环评测试的运营商，需要根据损失的程度由未通过的运营商对已通过环评测试的运营商进行赔偿，协商意见不同意的，可上报通信主管部门协调解决。</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（4）方案四：基站电磁辐射超标且运营商（部分）未通过环评测试</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该情况可分为以下几种具体情况：</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①运营商一方未通过环评测试</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②其他运营商未通过环评测试</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③均通过环评测试</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建议运营商在通信管理局的监督和协调下，先进行企业内部自查，确定责任方，按照自查结果进行企业内部整改，整改后环保部门将再次组织相关的检测机构对基站进行检测，判定基站辐射剂量是否满足国家香菇那标准规定，如果不符合将继续由运营商进行自查和整改，直至基站辐射指标达标，最后按照方案三的流程处理。</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7、电磁辐射监测意义</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公众对于电磁辐射本身担忧的根源往往不爱与电磁辐射本身，而二十担忧信息的公开透明度等因素，如果有充分的电磁辐射测试数据作为信息公开的基础，将缓解人们对于电磁辐射的担忧，所以通过建立一条完成的监测和信息收集、信息传送和接收存储、信息管理和分析、信息发布以及定期维护的流程，能够为政府、国家企事业、公益部门和人民群众提供迅速、可靠、完整的电磁辐射监测数据和报告；为人民群众消除不必要的的担忧和畏惧，正确认识到电磁辐射的利与害，规避队人头有害的电磁辐射区域，并且经过长期的不间断的监测，能够保证电磁辐射数据的准确性和有效性。因此，基站的电磁辐射的监测也变得非常重要。</w:t>
      </w:r>
    </w:p>
    <w:p>
      <w:pPr>
        <w:pStyle w:val="Heading3"/>
        <w:spacing w:line="360" w:lineRule="auto"/>
        <w:ind w:firstLine="420" w:firstLineChars="200"/>
        <w:rPr>
          <w:rFonts w:ascii="宋体" w:eastAsia="宋体" w:hAnsi="宋体" w:cs="宋体"/>
          <w:sz w:val="28"/>
          <w:szCs w:val="28"/>
          <w:highlight w:val="none"/>
        </w:rPr>
      </w:pPr>
      <w:bookmarkStart w:id="140" w:name="_Toc21794"/>
      <w:r>
        <w:rPr>
          <w:rFonts w:ascii="宋体" w:eastAsia="宋体" w:hAnsi="宋体" w:cs="宋体" w:hint="eastAsia"/>
          <w:sz w:val="28"/>
          <w:szCs w:val="28"/>
          <w:highlight w:val="none"/>
        </w:rPr>
        <w:t>六、基站防雷措施与规范</w:t>
      </w:r>
      <w:bookmarkEnd w:id="140"/>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接闪器。2113避雷5261针及其4102变形产品避雷1653线、避雷带、避雷网等统称为接闪器专。接属闪器的防雷就是将雷电引向自身而防止被保护物被雷电击中。有铁塔的通信基站铁塔本身就是良好的接闪器，如果铁塔在建筑物 顶应将铁塔四周与屋顶避雷带作好焊接连接。铁塔在通信基站附近的可在建筑物顶部设避雷带，并校核铁塔和避雷带联合防雷的保护范围。</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2、引下线。引下线的作用是将接闪器接闪的雷电电流安全地导引入地。对于框架结构的建筑物，引下线应利用建筑物内的钢筋作为防雷引下 线。</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 xml:space="preserve">3、 接地体。接地体是指埋在土壤中起散流作用的导体，框架结构的通信基站应采用建筑物基础钢筋做接地体。     </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4、参考标准：</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《通信局（站）接地设计暂行技术规定》YDJ26-89</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《移动通信基站防雷与接地设计规范》YD5068-98</w:t>
      </w:r>
    </w:p>
    <w:p>
      <w:pPr>
        <w:pStyle w:val="Heading3"/>
        <w:spacing w:line="360" w:lineRule="auto"/>
        <w:ind w:firstLine="420" w:firstLineChars="200"/>
        <w:rPr>
          <w:rFonts w:ascii="宋体" w:eastAsia="宋体" w:hAnsi="宋体" w:cs="宋体"/>
          <w:sz w:val="28"/>
          <w:szCs w:val="28"/>
          <w:highlight w:val="none"/>
        </w:rPr>
      </w:pPr>
      <w:bookmarkStart w:id="141" w:name="_Toc4640"/>
      <w:r>
        <w:rPr>
          <w:rFonts w:ascii="宋体" w:eastAsia="宋体" w:hAnsi="宋体" w:cs="宋体" w:hint="eastAsia"/>
          <w:sz w:val="28"/>
          <w:szCs w:val="28"/>
          <w:highlight w:val="none"/>
        </w:rPr>
        <w:t>七、基站防风措施与规范</w:t>
      </w:r>
      <w:bookmarkEnd w:id="141"/>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1、基本风压应当以空旷平坦地面、离地10min平均年最大等速为标准，其值应按现行国家标准《建筑结构荷载规范》GB 50009的全国基本风压图没有给出时，其基本风压值可根据当地年最大风速资料，按基本风压定义，通过统计分析确定，分析时应考虑样本数量的影响，当地没有风速资料时，可根据附近地区的基本风压或长期资料，通过气象和地形条件的对比分析确定；也可按现行国家标准《建筑结构荷载规范》GB 50009中全国基本风雅分布图确定。</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2、山区及偏僻地区的10m高处的风压，应通过实地调查和对比观察分析确定。一般情况可按照附近地区的基本风压乘以下列调整系数采用：</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对于山间盆地、谷地等闭塞地形，调整系数为0.75~0.85；</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对于与风向一致的谷口、山口，调整系数为1.20~1.50。</w:t>
      </w:r>
    </w:p>
    <w:p>
      <w:pPr>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沿海海面和海岛和10m高的风压，当缺乏资料时，可按邻近陆上基本风压乘以下表规定的调整系数采用。</w:t>
      </w:r>
    </w:p>
    <w:tbl>
      <w:tblPr>
        <w:tblStyle w:val="TableNormal"/>
        <w:tblW w:w="9275" w:type="dxa"/>
        <w:jc w:val="center"/>
        <w:tblCellMar>
          <w:top w:w="0" w:type="dxa"/>
          <w:left w:w="108" w:type="dxa"/>
          <w:bottom w:w="0" w:type="dxa"/>
          <w:right w:w="108" w:type="dxa"/>
        </w:tblCellMar>
      </w:tblPr>
      <w:tblGrid>
        <w:gridCol w:w="7094"/>
        <w:gridCol w:w="2181"/>
      </w:tblGrid>
      <w:tr>
        <w:tblPrEx>
          <w:tblW w:w="9275" w:type="dxa"/>
          <w:jc w:val="center"/>
          <w:tblCellMar>
            <w:top w:w="0" w:type="dxa"/>
            <w:left w:w="108" w:type="dxa"/>
            <w:bottom w:w="0" w:type="dxa"/>
            <w:right w:w="108" w:type="dxa"/>
          </w:tblCellMar>
        </w:tblPrEx>
        <w:trPr>
          <w:trHeight w:val="385"/>
          <w:jc w:val="center"/>
        </w:trPr>
        <w:tc>
          <w:tcPr>
            <w:tcW w:w="92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海面和海岛的基本风压调整系数</w:t>
            </w:r>
          </w:p>
        </w:tc>
      </w:tr>
      <w:tr>
        <w:tblPrEx>
          <w:tblW w:w="9275" w:type="dxa"/>
          <w:jc w:val="center"/>
          <w:tblCellMar>
            <w:top w:w="0" w:type="dxa"/>
            <w:left w:w="108" w:type="dxa"/>
            <w:bottom w:w="0" w:type="dxa"/>
            <w:right w:w="108" w:type="dxa"/>
          </w:tblCellMar>
        </w:tblPrEx>
        <w:trPr>
          <w:trHeight w:val="385"/>
          <w:jc w:val="center"/>
        </w:trPr>
        <w:tc>
          <w:tcPr>
            <w:tcW w:w="7094" w:type="dxa"/>
            <w:tcBorders>
              <w:top w:val="nil"/>
              <w:left w:val="single" w:sz="4" w:space="0" w:color="auto"/>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海面和海岛距海岸距离（km）</w:t>
            </w:r>
          </w:p>
        </w:tc>
        <w:tc>
          <w:tcPr>
            <w:tcW w:w="2180" w:type="dxa"/>
            <w:tcBorders>
              <w:top w:val="nil"/>
              <w:left w:val="nil"/>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调整系数</w:t>
            </w:r>
          </w:p>
        </w:tc>
      </w:tr>
      <w:tr>
        <w:tblPrEx>
          <w:tblW w:w="9275" w:type="dxa"/>
          <w:jc w:val="center"/>
          <w:tblCellMar>
            <w:top w:w="0" w:type="dxa"/>
            <w:left w:w="108" w:type="dxa"/>
            <w:bottom w:w="0" w:type="dxa"/>
            <w:right w:w="108" w:type="dxa"/>
          </w:tblCellMar>
        </w:tblPrEx>
        <w:trPr>
          <w:trHeight w:val="385"/>
          <w:jc w:val="center"/>
        </w:trPr>
        <w:tc>
          <w:tcPr>
            <w:tcW w:w="7094" w:type="dxa"/>
            <w:tcBorders>
              <w:top w:val="nil"/>
              <w:left w:val="single" w:sz="4" w:space="0" w:color="auto"/>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&lt;40</w:t>
            </w:r>
          </w:p>
        </w:tc>
        <w:tc>
          <w:tcPr>
            <w:tcW w:w="2180" w:type="dxa"/>
            <w:tcBorders>
              <w:top w:val="nil"/>
              <w:left w:val="nil"/>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 xml:space="preserve">1.0 </w:t>
            </w:r>
          </w:p>
        </w:tc>
      </w:tr>
      <w:tr>
        <w:tblPrEx>
          <w:tblW w:w="9275" w:type="dxa"/>
          <w:jc w:val="center"/>
          <w:tblCellMar>
            <w:top w:w="0" w:type="dxa"/>
            <w:left w:w="108" w:type="dxa"/>
            <w:bottom w:w="0" w:type="dxa"/>
            <w:right w:w="108" w:type="dxa"/>
          </w:tblCellMar>
        </w:tblPrEx>
        <w:trPr>
          <w:trHeight w:val="385"/>
          <w:jc w:val="center"/>
        </w:trPr>
        <w:tc>
          <w:tcPr>
            <w:tcW w:w="7094" w:type="dxa"/>
            <w:tcBorders>
              <w:top w:val="nil"/>
              <w:left w:val="single" w:sz="4" w:space="0" w:color="auto"/>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40~60</w:t>
            </w:r>
          </w:p>
        </w:tc>
        <w:tc>
          <w:tcPr>
            <w:tcW w:w="2180" w:type="dxa"/>
            <w:tcBorders>
              <w:top w:val="nil"/>
              <w:left w:val="nil"/>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1.0~1.1</w:t>
            </w:r>
          </w:p>
        </w:tc>
      </w:tr>
      <w:tr>
        <w:tblPrEx>
          <w:tblW w:w="9275" w:type="dxa"/>
          <w:jc w:val="center"/>
          <w:tblCellMar>
            <w:top w:w="0" w:type="dxa"/>
            <w:left w:w="108" w:type="dxa"/>
            <w:bottom w:w="0" w:type="dxa"/>
            <w:right w:w="108" w:type="dxa"/>
          </w:tblCellMar>
        </w:tblPrEx>
        <w:trPr>
          <w:trHeight w:val="385"/>
          <w:jc w:val="center"/>
        </w:trPr>
        <w:tc>
          <w:tcPr>
            <w:tcW w:w="7094" w:type="dxa"/>
            <w:tcBorders>
              <w:top w:val="nil"/>
              <w:left w:val="single" w:sz="4" w:space="0" w:color="auto"/>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60~100</w:t>
            </w:r>
          </w:p>
        </w:tc>
        <w:tc>
          <w:tcPr>
            <w:tcW w:w="2180" w:type="dxa"/>
            <w:tcBorders>
              <w:top w:val="nil"/>
              <w:left w:val="nil"/>
              <w:bottom w:val="single" w:sz="4" w:space="0" w:color="auto"/>
              <w:right w:val="single" w:sz="4" w:space="0" w:color="auto"/>
            </w:tcBorders>
            <w:shd w:val="clear" w:color="auto" w:fill="auto"/>
            <w:noWrap/>
            <w:vAlign w:val="center"/>
          </w:tcPr>
          <w:p>
            <w:pPr>
              <w:widowControl/>
              <w:spacing w:line="360" w:lineRule="auto"/>
              <w:jc w:val="center"/>
              <w:rPr>
                <w:rFonts w:ascii="宋体" w:eastAsia="宋体" w:hAnsi="宋体" w:cs="宋体"/>
                <w:kern w:val="0"/>
                <w:szCs w:val="21"/>
                <w:highlight w:val="none"/>
              </w:rPr>
            </w:pPr>
            <w:r>
              <w:rPr>
                <w:rFonts w:ascii="宋体" w:eastAsia="宋体" w:hAnsi="宋体" w:cs="宋体" w:hint="eastAsia"/>
                <w:kern w:val="0"/>
                <w:szCs w:val="21"/>
                <w:highlight w:val="none"/>
              </w:rPr>
              <w:t>1.1~1.2</w:t>
            </w:r>
          </w:p>
        </w:tc>
      </w:tr>
    </w:tbl>
    <w:p>
      <w:pPr>
        <w:widowControl/>
        <w:spacing w:line="360" w:lineRule="auto"/>
        <w:rPr>
          <w:rFonts w:ascii="宋体" w:eastAsia="宋体" w:hAnsi="宋体" w:cs="宋体"/>
          <w:sz w:val="24"/>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142" w:name="_Toc6005"/>
      <w:r>
        <w:rPr>
          <w:rFonts w:ascii="宋体" w:eastAsia="宋体" w:hAnsi="宋体" w:cs="宋体" w:hint="eastAsia"/>
          <w:sz w:val="32"/>
          <w:szCs w:val="32"/>
          <w:highlight w:val="none"/>
        </w:rPr>
        <w:t>第十七章 支撑保障规划</w:t>
      </w:r>
      <w:bookmarkEnd w:id="142"/>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各区县、各部门必须采取有效措施，强化组织、制度、政策、宣传和考核等方面的保障，确保本规划的各项奋斗目标顺利实现。</w:t>
      </w:r>
    </w:p>
    <w:p>
      <w:pPr>
        <w:pStyle w:val="Heading3"/>
        <w:spacing w:line="360" w:lineRule="auto"/>
        <w:ind w:firstLine="420" w:firstLineChars="200"/>
        <w:rPr>
          <w:rFonts w:ascii="宋体" w:eastAsia="宋体" w:hAnsi="宋体" w:cs="宋体"/>
          <w:sz w:val="28"/>
          <w:szCs w:val="28"/>
          <w:highlight w:val="none"/>
        </w:rPr>
      </w:pPr>
      <w:bookmarkStart w:id="143" w:name="_Toc12087"/>
      <w:r>
        <w:rPr>
          <w:rFonts w:ascii="宋体" w:eastAsia="宋体" w:hAnsi="宋体" w:cs="宋体" w:hint="eastAsia"/>
          <w:sz w:val="28"/>
          <w:szCs w:val="28"/>
          <w:highlight w:val="none"/>
        </w:rPr>
        <w:t>一、加强组织保障</w:t>
      </w:r>
      <w:bookmarkEnd w:id="143"/>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建立决策科学、运行有效、职责明确的领导体制和工作机制，制定和实施全市通信基础设施建设行动计划，督促和推动通信基础设施重点工程建设，协调解决通信基础设施建设和运营中的问题。组建通信基础设施建设专家咨询委员会，在制定发展规划、重点工程项目方案评审和通信基础设施建设成果鉴定等方面发挥作用。</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强化规划局作为市政规划主管部门在通信基础设施建设中的统领作用。发挥其统筹规划、科学管理和宏观调控职能，对全市通信基础设施建设进行统一规划。</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《广西北海市（城区）5G通信基础设施专项规划</w:t>
      </w:r>
      <w:r>
        <w:rPr>
          <w:rFonts w:ascii="宋体" w:eastAsia="宋体" w:hAnsi="宋体" w:cs="宋体" w:hint="eastAsia"/>
          <w:sz w:val="24"/>
          <w:highlight w:val="none"/>
          <w:lang w:eastAsia="zh-CN"/>
        </w:rPr>
        <w:t>（</w:t>
      </w:r>
      <w:r>
        <w:rPr>
          <w:rFonts w:ascii="宋体" w:eastAsia="宋体" w:hAnsi="宋体" w:cs="宋体" w:hint="eastAsia"/>
          <w:sz w:val="24"/>
          <w:highlight w:val="none"/>
        </w:rPr>
        <w:t>2023-2030</w:t>
      </w:r>
      <w:r>
        <w:rPr>
          <w:rFonts w:ascii="宋体" w:eastAsia="宋体" w:hAnsi="宋体" w:cs="宋体" w:hint="eastAsia"/>
          <w:sz w:val="24"/>
          <w:highlight w:val="none"/>
          <w:lang w:val="en-US" w:eastAsia="zh-CN"/>
        </w:rPr>
        <w:t>年</w:t>
      </w:r>
      <w:r>
        <w:rPr>
          <w:rFonts w:ascii="宋体" w:eastAsia="宋体" w:hAnsi="宋体" w:cs="宋体" w:hint="eastAsia"/>
          <w:sz w:val="24"/>
          <w:highlight w:val="none"/>
          <w:lang w:eastAsia="zh-CN"/>
        </w:rPr>
        <w:t>）</w:t>
      </w:r>
      <w:r>
        <w:rPr>
          <w:rFonts w:ascii="宋体" w:eastAsia="宋体" w:hAnsi="宋体" w:cs="宋体" w:hint="eastAsia"/>
          <w:sz w:val="24"/>
          <w:highlight w:val="none"/>
        </w:rPr>
        <w:t>》是由自治区通信管理局、基础电信运营企业及铁塔公司组织，依据《北海市国土空间总体规划（2021-2035年）》编制，报北海市人民政府审批。</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本规划是保障北海市5G通信基础设施规划和建设协调发展的重要措施，应纳入同级城乡规划。</w:t>
      </w:r>
      <w:r>
        <w:rPr>
          <w:rFonts w:ascii="宋体" w:eastAsia="宋体" w:hAnsi="宋体" w:cs="宋体"/>
          <w:sz w:val="24"/>
          <w:highlight w:val="none"/>
        </w:rPr>
        <w:t xml:space="preserve"> </w:t>
      </w:r>
    </w:p>
    <w:p>
      <w:pPr>
        <w:pStyle w:val="Heading3"/>
        <w:spacing w:line="360" w:lineRule="auto"/>
        <w:ind w:firstLine="420" w:firstLineChars="200"/>
        <w:rPr>
          <w:rFonts w:ascii="宋体" w:eastAsia="宋体" w:hAnsi="宋体" w:cs="宋体"/>
          <w:sz w:val="24"/>
          <w:highlight w:val="none"/>
        </w:rPr>
      </w:pPr>
      <w:bookmarkStart w:id="144" w:name="_Toc6812"/>
      <w:r>
        <w:rPr>
          <w:rFonts w:ascii="宋体" w:eastAsia="宋体" w:hAnsi="宋体" w:cs="宋体" w:hint="eastAsia"/>
          <w:sz w:val="28"/>
          <w:szCs w:val="28"/>
          <w:highlight w:val="none"/>
        </w:rPr>
        <w:t>二、加强规划统筹</w:t>
      </w:r>
      <w:bookmarkEnd w:id="144"/>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（1）提升对移动通信基础建设重要性的认识，视同与水、电、气等服务民生、服务社会的重要基础设施。</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（2）将移动通信基站建设专项规划纳入城乡规划管理体系中，同其它公共基础设施一并纳入规划控制体系中；</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在审批新建重大场所、各类新区和公共基础设施（例如公路、高铁、地铁、大桥及城市道路等）等重大项目时,应要求建设单位对基站、铁塔、机房、室内分布系统、传输管道等通信配套设施建设所需预留的资源提出意见；</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（4）在实施以上重大场所、各类新区和公共基础设施时，应做到依据规划，同步设计、同步施工、同步验收并投入使用。</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（5）加强对人员密集区、公共场所和重点场所的5G设施建设，充分利用存量资源，减少重复建设。</w:t>
      </w:r>
    </w:p>
    <w:p>
      <w:pPr>
        <w:pStyle w:val="Heading3"/>
        <w:spacing w:line="360" w:lineRule="auto"/>
        <w:ind w:firstLine="420" w:firstLineChars="200"/>
        <w:rPr>
          <w:rFonts w:ascii="宋体" w:eastAsia="宋体" w:hAnsi="宋体" w:cs="宋体"/>
          <w:sz w:val="24"/>
          <w:highlight w:val="none"/>
        </w:rPr>
      </w:pPr>
      <w:bookmarkStart w:id="145" w:name="_Toc671"/>
      <w:r>
        <w:rPr>
          <w:rFonts w:ascii="宋体" w:eastAsia="宋体" w:hAnsi="宋体" w:cs="宋体" w:hint="eastAsia"/>
          <w:sz w:val="28"/>
          <w:szCs w:val="28"/>
          <w:highlight w:val="none"/>
        </w:rPr>
        <w:t>三、开发公共资源</w:t>
      </w:r>
      <w:bookmarkEnd w:id="145"/>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（1）应积极开放各级党、政机关、企事业单位适宜的屋顶楼面或其他场所，用于移动通信基站建设。</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（2）市政管理部门应支持符合移动通信基站规划和市政管理规定的通信灯杆塔、美化塔改造。</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（3）房管部门要督促物业管理企业积极支持移动通信基站单位在住宅小区开展符合规划的移动基站（主要是楼面站）新建、改建和维护，并按政府有关定价或行业标准收取相关费用。</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（4）对涉及公路、铁路、桥梁等设施的移动基站建设，凡是符合相关法律、法规规定以及本规划的，交通部门要积极支持。</w:t>
      </w:r>
    </w:p>
    <w:p>
      <w:pPr>
        <w:pStyle w:val="Heading3"/>
        <w:spacing w:line="360" w:lineRule="auto"/>
        <w:ind w:firstLine="420" w:firstLineChars="200"/>
        <w:rPr>
          <w:rFonts w:ascii="宋体" w:eastAsia="宋体" w:hAnsi="宋体" w:cs="宋体"/>
          <w:sz w:val="28"/>
          <w:szCs w:val="28"/>
          <w:highlight w:val="none"/>
        </w:rPr>
      </w:pPr>
      <w:bookmarkStart w:id="146" w:name="_Toc17783"/>
      <w:r>
        <w:rPr>
          <w:rFonts w:ascii="宋体" w:eastAsia="宋体" w:hAnsi="宋体" w:cs="宋体" w:hint="eastAsia"/>
          <w:sz w:val="28"/>
          <w:szCs w:val="28"/>
          <w:highlight w:val="none"/>
        </w:rPr>
        <w:t>四、政策扶持</w:t>
      </w:r>
      <w:bookmarkEnd w:id="146"/>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贯彻落实国家、省推进信息化与通信基础设施建设的政策法规，制定出台具有区域特色的通信基础设施建设管理、信息化和工业化融合、通信市场监管和知识产权保护等相关配套政策法规，健全全县通信基础设施发展的行政管理规范。</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各级规划部门要将通信基础设施建设规划纳入城乡建设规划，实现与国民经济和社会发展规划等其他规划的有效衔接与同步实施，依据市人民政府批复的通信基础设施规划，保障信息通信基础设施建设用地。将乡、镇与各通信企业签订的战略合作框架协议及所涉及的通信楼、光缆、基站等建设项目纳入国土空间</w:t>
      </w:r>
      <w:r>
        <w:rPr>
          <w:rFonts w:ascii="宋体" w:eastAsia="宋体" w:hAnsi="宋体" w:cs="宋体"/>
          <w:sz w:val="24"/>
          <w:highlight w:val="none"/>
        </w:rPr>
        <w:t>规划</w:t>
      </w:r>
      <w:r>
        <w:rPr>
          <w:rFonts w:ascii="宋体" w:eastAsia="宋体" w:hAnsi="宋体" w:cs="宋体" w:hint="eastAsia"/>
          <w:sz w:val="24"/>
          <w:highlight w:val="none"/>
        </w:rPr>
        <w:t>等统筹安排。建立健全通信设施与大型公用设施建设统一规划、同步建设制度。</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完善通信基础设施建设用地和通信传输光缆、线路的保护制度，避免市政改造造成已有基础设施(如管线、基站、局房等)的浪费，规范市政建设对信息通信基础设施破损等的赔补。在城市建设规划中充分考虑信息通信基础设施重建，对被拆设施(站点、传输等)给予政策支持，保障新站建设顺利实施，确保拆一还一，保障用户通信质量。</w:t>
      </w:r>
    </w:p>
    <w:p>
      <w:pPr>
        <w:widowControl/>
        <w:spacing w:line="348"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坚持“服务、规范、调整、提高”的工作方针，制定落实通信基础设施市场竞争制度。按照用户自由选择、企业公平接入、资源共建共享的原则，进一步规范通信基础设施建设，完善通信管线和用户接入资源的共享机制。积极推进三网融合和优化整合，发挥各种网络资源的比较优势，避免重复建设。加强新技术、新业务创新的引导，对新技术和新业务带来的影响进行科学评估与研究。</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市发改委牵头组织相关部门出台相应5G网络建设的扶持政策，如开放公共设施资源、简化审批手续、局房储备、供电设施引入、降低用电成本、5G基站用电等出台相应的优惠政策，以支持5G网络的快速部署。</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将5G网络建设、技术创新、产业孵化发展和示范应用纳入各区、县有关资金支持范围，重点支持纳入国家重大项目库和自治区统筹推进的通信基础设施重大项目。</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高速公路管孔租赁费用降低，减轻企业费用负担。建议降低或免除高速公路施工占道费及高速公路管道引接等费用，简化高速公路通信管道安全评估环节及相关手续。</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降低市政管道购买、租赁费用，取消对电信企业城区内新建管道报建限制，简化报建流程、降低报建费用，电信企业将在城区挖掘、建设通信管道时按照市政管理部门的标准及要求做好道路路面修复工作。</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出台相关乡镇农村道路、农田、林地等区域配合新建通信杆路、光缆敷设等通信基础设施建设的指导意见，严禁无故阻挠施工、收取不合理费用等情况。</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对在桥梁外侧采用桥挂钢管或硅芯管方式建设过桥管道，电信企业严格按相关标准、规范施工，对桥梁结构及安全不会产生任何影响，市政及桥梁管理部门应缩短报建审批流程，降低占道掘路、过桥报建等费用，简化桥梁安全评估环节及手续。</w:t>
      </w:r>
    </w:p>
    <w:p>
      <w:pPr>
        <w:pStyle w:val="Heading3"/>
        <w:spacing w:line="360" w:lineRule="auto"/>
        <w:ind w:firstLine="420" w:firstLineChars="200"/>
        <w:rPr>
          <w:rFonts w:ascii="宋体" w:eastAsia="宋体" w:hAnsi="宋体" w:cs="宋体"/>
          <w:sz w:val="28"/>
          <w:szCs w:val="28"/>
          <w:highlight w:val="none"/>
        </w:rPr>
      </w:pPr>
      <w:bookmarkStart w:id="147" w:name="_Toc24571"/>
      <w:r>
        <w:rPr>
          <w:rFonts w:ascii="宋体" w:eastAsia="宋体" w:hAnsi="宋体" w:cs="宋体" w:hint="eastAsia"/>
          <w:sz w:val="28"/>
          <w:szCs w:val="28"/>
          <w:highlight w:val="none"/>
        </w:rPr>
        <w:t>五、优化行业发展环境</w:t>
      </w:r>
      <w:bookmarkEnd w:id="147"/>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各城区、各部门要进一步加强协调配合，不断优化通信基础设施建设与发展的社会环境。</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规划、建设部门要将通信配套设施纳入小区建设规划审查范围，将通信配套设施纳入新建项目的竣工验收范围，加快审核通信楼、基站站址和通信光缆等通信基础设施规划设计方案。国土资源部门对符合用地预审和土地征收等条件的通信基础设施建设项目，要尽快办理用地手续。交通、铁路部门要及时审批在公路、铁路、客运站等控制区内埋设管线、架设光电缆及通信基站等设施的申请。</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生态环境主管部门依法对通信基站实行环境影响登记表备案管理，并配合铁塔公司和各运营商开展通信基站的科普宣传，正确引导公众关于通信基站的认识。通信企业在各区县辖区内旅游景区的通信基础设施在项目规划、勘察设计前，应向当地旅游管理部门提出书面申请。旅游管理部门应提高审批效率，对符合规划、手续齐全的通信基础设施建设项目给予支持，为基站的选址、建设和运营创造条件。无线电管理部门要在国家政策框架下依法简化程序，及时审批基站建设所需的无线电频率资源。公安部门要依法严厉惩处各类干扰破坏通信基础设施建设的行为。</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供电企业要切实保障通信基础设施建设项目的电力供应，对通信电力工程建设给予最大限度支持，对用电性质相同、共建共享的通信企业共用电源，应视为非转供电并给予支持。各建筑设计单位、开发企业要按照（原）信息产业部、建设部发布的《关于进一步规范住宅小区及商住楼通信管线及通信设施建设的通知》信部联规〔2007〕24号文件精神进行设计施工和建设，满足各通信运营企业宽带业务、驻地网等接入要求。</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建设单位在铁路、公路、政府投资的公共基础设施以及城市道路拓宽改造工程的项目规划、勘察设计前，应书面征求通信企业投资同步建设需求，通信企业要积极配合，做到同步实施、协调发展。</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各通信企业应超前规划、共建共享通信基站，避免单独、分散、滞后建站。各级政府要帮助企业解决影响基站选址、管线敷设等问题，有关部门要率先开放机关、国有企事业单位、高校园区、公共场所、公共设施(绿地、灯杆等)、车站等所属建筑物，支持通信光缆、基站以及室内分布系统等信息通信基础设施的建设。</w:t>
      </w:r>
    </w:p>
    <w:p>
      <w:pPr>
        <w:pStyle w:val="Heading3"/>
        <w:spacing w:line="360" w:lineRule="auto"/>
        <w:ind w:firstLine="420" w:firstLineChars="200"/>
        <w:rPr>
          <w:rFonts w:ascii="宋体" w:eastAsia="宋体" w:hAnsi="宋体" w:cs="宋体"/>
          <w:sz w:val="28"/>
          <w:szCs w:val="28"/>
          <w:highlight w:val="none"/>
        </w:rPr>
      </w:pPr>
      <w:bookmarkStart w:id="148" w:name="_Toc11320"/>
      <w:r>
        <w:rPr>
          <w:rFonts w:ascii="宋体" w:eastAsia="宋体" w:hAnsi="宋体" w:cs="宋体" w:hint="eastAsia"/>
          <w:sz w:val="28"/>
          <w:szCs w:val="28"/>
          <w:highlight w:val="none"/>
        </w:rPr>
        <w:t>六、建立健全多元化投融资机制</w:t>
      </w:r>
      <w:bookmarkEnd w:id="148"/>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加大政府对信息化和通信基础设施建设的投入，高质量、高效率地推进一批全局性、基础性、公益性、示范性的重大工程。加强对政府投入资金的管理、监督和审计，保证项目的公开、透明和有效性。</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 xml:space="preserve">完善通信基础设施建设的投融资机制和管理模式，逐步形成“运营商公平接入、用户自由选择”的市场格局。积极探索信息化和通信基础设施建设项目产业化、市场化运作模式，广泛吸纳社会资本。加大招商引资力度，吸纳外来企业来合浦县投资通信基础设施建设，并通过他们的投资示范作用，带动民间资本、私营企业参与建设。此外，全面引入有利于基础通信网络运营商竞争、联合和发展的激励机制，充分发挥社会各方面的力量参与信息化和通信基础设施的建设与运营；引导、规范中国移动、中国联通、中国电信等运营商对政府依法开放的信息资源进行增值开发，允许其利用所得来回收投资、补偿成本并获得回报。 </w:t>
      </w:r>
    </w:p>
    <w:p>
      <w:pPr>
        <w:pStyle w:val="Heading3"/>
        <w:spacing w:line="360" w:lineRule="auto"/>
        <w:ind w:firstLine="420" w:firstLineChars="200"/>
        <w:rPr>
          <w:rFonts w:ascii="宋体" w:eastAsia="宋体" w:hAnsi="宋体" w:cs="宋体"/>
          <w:sz w:val="28"/>
          <w:szCs w:val="28"/>
          <w:highlight w:val="none"/>
        </w:rPr>
      </w:pPr>
      <w:bookmarkStart w:id="149" w:name="_Toc25937"/>
      <w:r>
        <w:rPr>
          <w:rFonts w:ascii="宋体" w:eastAsia="宋体" w:hAnsi="宋体" w:cs="宋体" w:hint="eastAsia"/>
          <w:sz w:val="28"/>
          <w:szCs w:val="28"/>
          <w:highlight w:val="none"/>
        </w:rPr>
        <w:t>七、营造良好舆论氛围</w:t>
      </w:r>
      <w:bookmarkEnd w:id="149"/>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通信基础设施宣传工作是优化通信基础设施建设发展环境的重要内容。工信、宣传等部门要将通信基础设施宣传工作列入重要工作内容，深入宣传贯彻党中央、国务院和省、市有关信息化和通信基础设施建设发展的方针政策，及时准确反映全市信息化和通信基础设施建设工作情况。要准确把握新形势下信息化和通信基础设施建设宣传工作的特点和规律，不断创新信息化和通信基础设施建设宣传的方式和方法。要加强舆论引导，加大对信息通信基础设施相关知识的宣传普及力度，积极推进通信知识进农村、学校、企业、社区活动，消除公众对基站、广播电视发射塔电磁辐射的片面认识，推动全社会对通信基础设施建设工作的关注、支持和参与，努力营造全社会共同支持信息通信基础设施建设的良好氛围。</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具体措施建议如下：</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形成常态化宣传机制。铁塔公司、各运营商企业派出电磁辐射专家共同组建了课题组，负责日常科普知识宣传。结合“五一”、“5.17”电信日、“6.5”世界环境日等重要节日，开展电磁辐射科普宣传活动，着力提升广大人民群众对电磁辐射的认知度，化解市民通信需求与基站建设之间的矛盾。各乡（镇）、街道、社区届时也将结合开展相关宣传活动，形成联动宣传的局面。</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有效解决社会大众对基站辐射的恐慌。在环保意识、健康意识日益提高的今天，移动通信基站的电磁辐射问题受到老百姓的关注。人们在享受移动通信带来极大便利的同时，对通信基站电磁辐射也心存疑虑甚至恐惧，以致“谈辐色变”。而大众层面的普遍化宣传，正是有效解决人们恐慌心理的具体举措，引导科学看待电磁辐射，逐步消除不必要的误解。</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3、聚焦“选址难”社区，营造舆论氛围。进社区活动优先选择“选址难”的老小区，而主要宣传对象为观念相对落后的中老年人群，特别在这个老龄化加剧到来的时代，如何消除老年人对通信基站辐射认识误区。可通过课题组现场授课方式，由授课讲师现场用便携式辐射监测仪器对家用电器、手机和移动基站的辐射情况进行了对比测试，结合视频和宣传册，让参与人员科学认识了电磁辐射，消除困惑。</w:t>
      </w:r>
    </w:p>
    <w:p>
      <w:pPr>
        <w:widowControl/>
        <w:spacing w:line="360" w:lineRule="auto"/>
        <w:ind w:firstLine="420" w:firstLineChars="200"/>
        <w:rPr>
          <w:rFonts w:ascii="宋体" w:eastAsia="宋体" w:hAnsi="宋体" w:cs="宋体"/>
          <w:sz w:val="24"/>
          <w:szCs w:val="24"/>
          <w:highlight w:val="none"/>
        </w:rPr>
      </w:pPr>
      <w:r>
        <w:rPr>
          <w:rFonts w:ascii="宋体" w:eastAsia="宋体" w:hAnsi="宋体" w:cs="宋体" w:hint="eastAsia"/>
          <w:sz w:val="24"/>
          <w:szCs w:val="24"/>
          <w:highlight w:val="none"/>
        </w:rPr>
        <w:t>电磁辐射宣传是一项长期的系统工程，铁塔公司和各运营商需持续与政府部门加强合作，共同引导正面积极的社会舆论，让老百姓对基站辐射有更加正确、科学、客观、全面的认识，推动社区选址难问题的破解。</w:t>
      </w:r>
    </w:p>
    <w:p>
      <w:pPr>
        <w:pStyle w:val="Heading3"/>
        <w:spacing w:line="360" w:lineRule="auto"/>
        <w:ind w:firstLine="420" w:firstLineChars="200"/>
        <w:rPr>
          <w:rFonts w:ascii="宋体" w:eastAsia="宋体" w:hAnsi="宋体" w:cs="宋体"/>
          <w:sz w:val="28"/>
          <w:szCs w:val="28"/>
          <w:highlight w:val="none"/>
        </w:rPr>
      </w:pPr>
      <w:bookmarkStart w:id="150" w:name="_Toc19717"/>
      <w:r>
        <w:rPr>
          <w:rFonts w:ascii="宋体" w:eastAsia="宋体" w:hAnsi="宋体" w:cs="宋体" w:hint="eastAsia"/>
          <w:sz w:val="28"/>
          <w:szCs w:val="28"/>
          <w:highlight w:val="none"/>
        </w:rPr>
        <w:t>八、加强通信安全体系建设</w:t>
      </w:r>
      <w:bookmarkEnd w:id="150"/>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按照“积极防御，综合防范”的方针，推进通信基础设施建设安全保障体系建设。各相关部门和通信企业要加强通信基础设施建设安全制度和技术体系建设。制定通信安全管理办法和建设标准，细化实现通信安全总体目标中必须落实的各项安全要求。加大对通信基础设施重要节点的安全防护力度。任何组织、个人对经批准建设的通信线路、基站及其他通信基础设施，不得擅自改动或迁移。需要对已有通信基础设施进行改动或迁移的，应事先组织通信企业参与施工方案会审。施工单位应严格执行施工规范，确保各通信运营企业在重要节点和路段的通信基础设施安全。</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各级政府要建立健全通信基础设施安全应急反应及处置机制。开展信息和通信基础设施安全教育，依靠、发动社会各方面力量，建立完善通信基础设施安全防护体系，确保全市通信网络安全畅通，确保国家和人民生命财产的安全，维护政治、经济和社会稳定。</w:t>
      </w:r>
    </w:p>
    <w:p>
      <w:pPr>
        <w:pStyle w:val="Heading3"/>
        <w:spacing w:line="360" w:lineRule="auto"/>
        <w:ind w:firstLine="420" w:firstLineChars="200"/>
        <w:rPr>
          <w:rFonts w:ascii="宋体" w:eastAsia="宋体" w:hAnsi="宋体" w:cs="宋体"/>
          <w:sz w:val="28"/>
          <w:szCs w:val="28"/>
          <w:highlight w:val="none"/>
        </w:rPr>
      </w:pPr>
      <w:bookmarkStart w:id="151" w:name="_Toc22429"/>
      <w:r>
        <w:rPr>
          <w:rFonts w:ascii="宋体" w:eastAsia="宋体" w:hAnsi="宋体" w:cs="宋体" w:hint="eastAsia"/>
          <w:sz w:val="28"/>
          <w:szCs w:val="28"/>
          <w:highlight w:val="none"/>
        </w:rPr>
        <w:t>九、进行考核评估体系建设</w:t>
      </w:r>
      <w:bookmarkEnd w:id="151"/>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制定科学合理的通信基础设施建设统计指标体系，将各乡(镇)通信基础设施建设工作目标考核纳入市委、市政府年度目标管理责任制考核范围。</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不断改进目标考核评估方法，把目标考核作为推进通信基础设施建设工作的重要保障措施。研究制订通信企业绩效评价指标体系，加强对涉及国计民生的通信基础设施安全考核，评选表彰通信基础设施建设先进企业。切实通过加强绩效考核工作，促进通信基础设施建设责任与权利紧密结合，建立健全通信基础设施建设激励约束机制。</w:t>
      </w:r>
    </w:p>
    <w:p>
      <w:pPr>
        <w:rPr>
          <w:rFonts w:ascii="宋体" w:eastAsia="宋体" w:hAnsi="宋体" w:cs="宋体"/>
          <w:sz w:val="32"/>
          <w:szCs w:val="32"/>
          <w:highlight w:val="none"/>
        </w:rPr>
      </w:pPr>
    </w:p>
    <w:p>
      <w:pPr>
        <w:pStyle w:val="Heading2"/>
        <w:spacing w:before="260" w:after="260" w:line="360" w:lineRule="auto"/>
        <w:ind w:left="0" w:firstLine="420" w:firstLineChars="200"/>
        <w:rPr>
          <w:rFonts w:ascii="宋体" w:eastAsia="宋体" w:hAnsi="宋体" w:cs="宋体" w:hint="eastAsia"/>
          <w:sz w:val="32"/>
          <w:szCs w:val="32"/>
          <w:highlight w:val="none"/>
        </w:rPr>
      </w:pPr>
    </w:p>
    <w:p>
      <w:pPr>
        <w:pStyle w:val="Heading2"/>
        <w:spacing w:before="260" w:after="260" w:line="360" w:lineRule="auto"/>
        <w:ind w:left="0" w:firstLine="420" w:firstLineChars="200"/>
        <w:rPr>
          <w:rFonts w:ascii="宋体" w:eastAsia="宋体" w:hAnsi="宋体" w:cs="宋体" w:hint="eastAsia"/>
          <w:sz w:val="32"/>
          <w:szCs w:val="32"/>
          <w:highlight w:val="none"/>
        </w:rPr>
      </w:pPr>
    </w:p>
    <w:p>
      <w:pPr>
        <w:pStyle w:val="Heading2"/>
        <w:spacing w:before="260" w:after="260" w:line="360" w:lineRule="auto"/>
        <w:ind w:left="0" w:firstLine="420" w:firstLineChars="200"/>
        <w:rPr>
          <w:rFonts w:ascii="宋体" w:eastAsia="宋体" w:hAnsi="宋体" w:cs="宋体"/>
          <w:sz w:val="32"/>
          <w:szCs w:val="32"/>
          <w:highlight w:val="none"/>
        </w:rPr>
      </w:pPr>
      <w:bookmarkStart w:id="152" w:name="_Toc17069"/>
      <w:r>
        <w:rPr>
          <w:rFonts w:ascii="宋体" w:eastAsia="宋体" w:hAnsi="宋体" w:cs="宋体" w:hint="eastAsia"/>
          <w:sz w:val="32"/>
          <w:szCs w:val="32"/>
          <w:highlight w:val="none"/>
        </w:rPr>
        <w:t>第十八章 附录及规划附件</w:t>
      </w:r>
      <w:bookmarkEnd w:id="152"/>
    </w:p>
    <w:p>
      <w:pPr>
        <w:pStyle w:val="Heading3"/>
        <w:keepNext w:val="0"/>
        <w:keepLines w:val="0"/>
        <w:spacing w:line="360" w:lineRule="auto"/>
        <w:ind w:firstLine="420" w:firstLineChars="200"/>
        <w:rPr>
          <w:rFonts w:ascii="宋体" w:eastAsia="宋体" w:hAnsi="宋体" w:cs="宋体"/>
          <w:sz w:val="28"/>
          <w:szCs w:val="28"/>
          <w:highlight w:val="none"/>
        </w:rPr>
      </w:pPr>
      <w:bookmarkStart w:id="153" w:name="_Toc25672"/>
      <w:bookmarkStart w:id="154" w:name="_Toc12585"/>
      <w:r>
        <w:rPr>
          <w:rFonts w:ascii="宋体" w:eastAsia="宋体" w:hAnsi="宋体" w:cs="宋体" w:hint="eastAsia"/>
          <w:sz w:val="28"/>
          <w:szCs w:val="28"/>
          <w:highlight w:val="none"/>
        </w:rPr>
        <w:t>一、</w:t>
      </w:r>
      <w:bookmarkEnd w:id="153"/>
      <w:r>
        <w:rPr>
          <w:rFonts w:ascii="宋体" w:eastAsia="宋体" w:hAnsi="宋体" w:cs="宋体" w:hint="eastAsia"/>
          <w:sz w:val="28"/>
          <w:szCs w:val="28"/>
          <w:highlight w:val="none"/>
        </w:rPr>
        <w:t>附录</w:t>
      </w:r>
      <w:bookmarkEnd w:id="154"/>
    </w:p>
    <w:p>
      <w:pPr>
        <w:ind w:firstLine="420" w:firstLineChars="200"/>
        <w:outlineLvl w:val="2"/>
        <w:rPr>
          <w:highlight w:val="none"/>
        </w:rPr>
      </w:pPr>
      <w:bookmarkStart w:id="155" w:name="_Toc9758"/>
      <w:r>
        <w:rPr>
          <w:rFonts w:ascii="宋体" w:eastAsia="宋体" w:hAnsi="宋体" w:cs="宋体" w:hint="eastAsia"/>
          <w:b/>
          <w:sz w:val="28"/>
          <w:szCs w:val="28"/>
          <w:highlight w:val="none"/>
        </w:rPr>
        <w:t>附录A: 用词说明</w:t>
      </w:r>
      <w:bookmarkEnd w:id="155"/>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执行本规划时，对要求严格程度的用词说明如下，以便执行时区别对待。</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1、表示很严格，非这样做不可的用词：</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正面词：“必须”、“严格”</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反面词；“严禁”</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2、表示严格，在正常情况下均应这样做的用词：</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正面词：“应”、“需要”</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反面词：“不应”、“不得”</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3、表示允许有选择，带有指导性的用词：</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正面词：“宜”、“可”、“参照”</w:t>
      </w:r>
    </w:p>
    <w:p>
      <w:pPr>
        <w:spacing w:line="360" w:lineRule="auto"/>
        <w:ind w:firstLine="420" w:firstLineChars="200"/>
        <w:jc w:val="left"/>
        <w:rPr>
          <w:rFonts w:ascii="宋体" w:eastAsia="宋体" w:hAnsi="宋体" w:cs="宋体"/>
          <w:sz w:val="24"/>
          <w:szCs w:val="24"/>
          <w:highlight w:val="none"/>
        </w:rPr>
      </w:pPr>
      <w:r>
        <w:rPr>
          <w:rFonts w:ascii="宋体" w:eastAsia="宋体" w:hAnsi="宋体" w:cs="宋体" w:hint="eastAsia"/>
          <w:sz w:val="24"/>
          <w:szCs w:val="24"/>
          <w:highlight w:val="none"/>
        </w:rPr>
        <w:t>反面词：“不宜”</w:t>
      </w:r>
    </w:p>
    <w:p>
      <w:pPr>
        <w:spacing w:line="360" w:lineRule="auto"/>
        <w:ind w:firstLine="420" w:firstLineChars="200"/>
        <w:jc w:val="left"/>
        <w:rPr>
          <w:rFonts w:ascii="宋体" w:eastAsia="宋体" w:hAnsi="宋体" w:cs="宋体"/>
          <w:sz w:val="24"/>
          <w:szCs w:val="24"/>
          <w:highlight w:val="none"/>
        </w:rPr>
      </w:pPr>
    </w:p>
    <w:p>
      <w:pPr>
        <w:ind w:firstLine="420" w:firstLineChars="200"/>
        <w:outlineLvl w:val="2"/>
        <w:rPr>
          <w:rFonts w:ascii="宋体" w:eastAsia="宋体" w:hAnsi="宋体" w:cs="宋体"/>
          <w:b/>
          <w:sz w:val="28"/>
          <w:szCs w:val="28"/>
          <w:highlight w:val="none"/>
        </w:rPr>
      </w:pPr>
      <w:bookmarkStart w:id="156" w:name="_Toc22452"/>
      <w:r>
        <w:rPr>
          <w:rFonts w:ascii="宋体" w:eastAsia="宋体" w:hAnsi="宋体" w:cs="宋体" w:hint="eastAsia"/>
          <w:b/>
          <w:sz w:val="28"/>
          <w:szCs w:val="28"/>
          <w:highlight w:val="none"/>
        </w:rPr>
        <w:t>附录B: 名词解释</w:t>
      </w:r>
      <w:bookmarkEnd w:id="156"/>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1、两化融合：是信息化和工业化的高层次的深度结合，是指以信息化带动工业化、以工业化促进信息化，走新型工业化道路：两化融合的核心就是信息化支撑，追求可持续发展模式。</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三网融合：是指广播电视网、电信网与互联网的融合，其中互联网是核心。从实现方式上看，三网融合一种是指相同的服务和内容既可在广电网又可在电信网上被提供；另一种是广播电视网与电信网配合，从而实现业务融合，例如前者负责视频广播，后者承载互动功能。</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3、智慧城市：Smart City，智慧城市是把新一代信息技术充分运用在城市中各行各业基于知识社会下一代创新（创新2.0）的城市信息化高级形态，实现信息化、工业化与城镇化深度融合，有助于缓解“大城市病”，提高城镇化质量，实现精细化和动态管理，并提升城市管理成效和改善市民生活质量</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4、节能减排：包括节能和减排两个方面。节能，就是节约能耗，也称“节能降耗”，包括电、煤、油、水等；减排，就是减少污染物排放。</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5、信息安全：信息安全是指信息网络的硬件、软件及其系统中的数据受到保护，不受偶然的或者恶意的原因而遭到破坏、更改、泄露，系统连续可靠正常地运行，信息服务不中断。</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6、5G：第五代移动通信技术，是最新一代的蜂窝移动通信技术，也是继4G（LTE-A、 WiMax）、3G（UMTS、LTE）和2G（GSM）系统之后的延伸。5G的性能目标是高数据速率、减少延迟、节省能源、降低成本、提高系统容量和大规模设备连接。 Release-15中的5G规范的第一阶段是为了适应早期的商业部署。 Release-16的第二阶段将于2020年4月完成，作为MT-2020技术的候选交给国际电信联盟（ITU）。 ITU IMT2020规范要求速度高达20Gbit/s，可以实现宽信道带宽和大容量MIM0。</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7、物联网：是指通过信息传感设备，按照约定的协议，把任何物品与互联网连接起来，进行信息交换和通讯，以实现智能化识别、定位、跟踪、监控和管理的一种网络。它是在互联网基出上延伸和扩展的网络。</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8、云计算：实际上就是互联网的扩展应用。云计算的基本原理是，通过使计算分布在大量分布式计算机上，而非本地计算机或远程服务器中，企业数据中心的运行将更与互联网相似。这使得企业能够将资源切换到需要的应用上，根据需求访问计算机和存储系统</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9、FTTx:Fiber-to-the-x，宽带光纤接入指用户网络接口与相关的业务节点接口之间，全程以光纤作为传输媒质，或者以光纤作为主干传输媒质、以金属线或者无线作为用户末端传输媒质的一种接入承载方式。宽带光纤接入包括FTH、FT0、 FTTB/C、 FTTCab等典型应用类型，通称为FTTx</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10、PON：PON（PassiveOpticalNetwork：无源光纤网络）指ON（OpticalDistributionNetwork光配线网）不含有任何电子器件及电子电源，ODN全部由光分路器（Splitter：分支器）等无源器件组成，不需要贵重的有源电子设备。</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11、GPON：Gigabit-CapablePON，千兆无源光网络，GPON技术是基于ITU-TG.984.x标准的最新一代宽带无源光综合接入标准，基于GP0N技术的设备基本结构与已有的P0N类似，也是由局端的0LT（光线端），用户端的OMT/ONU（光网络终端或称作光网络单元），连接前两种设备由单模光纤（SMfiber）和无源分光器（Splitter）组成的0N（分配网络）以及网管系统组成。</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12、EPON：EthernetPassiveOpticalNetwork，以太网无源光网络，是一种新型网技术，它采用点到多点结构、无源光纤传输，在以太网之上提供多种业务。它在物理层采用PQN技术，在链路层使用以太网协议，利用PON的拓扑结构实现了以太网的接入。</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13、携号转网：一家移动电信运营商的用户，无需改变自己的手机号码，就能转而成为另家运营商的用户，并享受其各种服务。例如，持有133号码的电信手机用户，可转入中国移动网享受中国移动提供的电信运营服务.</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14、PEST分析：PEST为一种企业所处宏观环境分析模型，所谓PEST即 Political（政治）、Economic（经济）、Social（社会）、Technological（科技）。</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15、汇聚区：以汇聚节点为中心，依据城区地理状况、城区规划等，从网络组网的合理性和管理维护的方便性出发，划分汇聚区域，汇聚区域内保持一定的网络独立性，并与上层核心网或其他汇聚区域进行统一连接</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16、综合业务接入区：综合业务接入区是指以服务公众用户宽带、商企客户、移动基站等综业务接入的区域。在单个综合业务接入区内，可设置若干个或多个综合业务接入机房和接入主干光交</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17、核心节点机房：本地网内各类业务核心设备所在机房，包括移动网交换局、PSTN汇接局软交换TG局、城域网IP核心节点、传输核心节点、骨干网等设备所在机房。</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18、末端接入点：各种业务的末端接入节点，用于移动基站（包含独立宏站、室分、RRU拉远等）、商务楼字、宽带小区、AG等业务设备的接入，灵活地通过各种技术接入到综合业务接入点。</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19、主干光节点：指将多条配线光缆汇聚后形成主干光缆上联至中继节点，下连5~15个配线光节点，再由配线光节点下连若干个用户光节点，负责网格范围内半径200~500m以内的用户接入。</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20、主干光缆：是节点机房与主干光节点或节点机房之间的光缆。</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21、宏站：又称宏基站，通信运营商的无线信号发射基站，覆盖距离大，用于蜂窝式移动电话通讯。因为小区的覆盖面积较大在覆盖区域内往往存在两种特殊的微小区域。宏基站内主要由电源柜、电池、传输机柜、BTS机柜、空调等设备组成。</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22、微站：又称微基站，主要应用场景在人口密集区、覆盖大基站无法触及的末梢通信可以达到小范围即微蜂窝小区内提供高密度话务量的目的。微基站以其高度灵活性、易部署、可管可控的特点，作为万物互联的底层网络支持，必将会成为5G时代全覆盖的重要解决方案。</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23、室分：室内分布系统，针对室内用户群、用于改善建筑物内移动通信环境的一种成功的方案；是利用室内天线分布系统将移动基站的信号均匀分布在室内每个角落，从而保证室内区域拥有理想的信号覆盖。</w:t>
      </w:r>
    </w:p>
    <w:p>
      <w:pPr>
        <w:widowControl/>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24、移动通信基站：公用移动通信基站是无线电台站的一种形式，是指在一定的无线电覆盖区中，通过移动通信交换中心，与移动电话终端之间进行信息传递的无线电收发信电台。简单的来说，基站用来保证我们在移动的过程中手机可以随时随地保持着有信号，可以保证通话以及收发信息等需求。</w:t>
      </w:r>
    </w:p>
    <w:p>
      <w:pPr>
        <w:spacing w:line="360" w:lineRule="auto"/>
        <w:ind w:firstLine="420" w:firstLineChars="200"/>
        <w:rPr>
          <w:rFonts w:ascii="宋体" w:eastAsia="宋体" w:hAnsi="宋体" w:cs="宋体"/>
          <w:sz w:val="24"/>
          <w:highlight w:val="none"/>
        </w:rPr>
      </w:pPr>
      <w:r>
        <w:rPr>
          <w:rFonts w:ascii="宋体" w:eastAsia="宋体" w:hAnsi="宋体" w:cs="宋体" w:hint="eastAsia"/>
          <w:sz w:val="24"/>
          <w:highlight w:val="none"/>
        </w:rPr>
        <w:t>25、重点无线电台（站）：无线电台（站），是指按照无线电业务范围及使用频率，设置或多台无线电发射设备、无线电接收设备或含有无线电发射设备与无线电接收设备的组合设备，长期或临时在固定地点或指定区域内工作的简称。通常分为卫星通信接收站、单收卫星广播电视节目地球站、微波站和射电天文台等。其中需要干扰保护的电台（站），被称为“重点无线电台（站）”。</w:t>
      </w:r>
    </w:p>
    <w:p>
      <w:pPr>
        <w:pStyle w:val="Heading3"/>
        <w:keepNext w:val="0"/>
        <w:keepLines w:val="0"/>
        <w:numPr>
          <w:ilvl w:val="0"/>
          <w:numId w:val="20"/>
        </w:numPr>
        <w:spacing w:line="360" w:lineRule="auto"/>
        <w:ind w:firstLine="420" w:firstLineChars="200"/>
        <w:rPr>
          <w:rFonts w:ascii="宋体" w:eastAsia="宋体" w:hAnsi="宋体" w:cs="宋体"/>
          <w:bCs/>
          <w:sz w:val="28"/>
          <w:szCs w:val="28"/>
          <w:highlight w:val="none"/>
        </w:rPr>
      </w:pPr>
      <w:bookmarkStart w:id="157" w:name="_Toc23680"/>
      <w:r>
        <w:rPr>
          <w:rFonts w:ascii="宋体" w:eastAsia="宋体" w:hAnsi="宋体" w:cs="宋体" w:hint="eastAsia"/>
          <w:sz w:val="28"/>
          <w:szCs w:val="28"/>
          <w:highlight w:val="none"/>
        </w:rPr>
        <w:t>规划附件1: 通信基础设施规划建设明细表</w:t>
      </w:r>
      <w:bookmarkEnd w:id="157"/>
    </w:p>
    <w:p>
      <w:pPr>
        <w:spacing w:line="384" w:lineRule="auto"/>
        <w:ind w:firstLine="420" w:firstLineChars="200"/>
        <w:outlineLvl w:val="2"/>
        <w:rPr>
          <w:rFonts w:ascii="宋体" w:eastAsia="宋体" w:hAnsi="宋体" w:cs="宋体"/>
          <w:sz w:val="24"/>
          <w:szCs w:val="24"/>
          <w:highlight w:val="none"/>
        </w:rPr>
      </w:pPr>
      <w:bookmarkStart w:id="158" w:name="_Toc24738"/>
      <w:r>
        <w:rPr>
          <w:rFonts w:ascii="宋体" w:eastAsia="宋体" w:hAnsi="宋体" w:cs="宋体" w:hint="eastAsia"/>
          <w:sz w:val="24"/>
          <w:szCs w:val="24"/>
          <w:highlight w:val="none"/>
        </w:rPr>
        <w:t>1、5G基站-规划建设明细表</w:t>
      </w:r>
      <w:bookmarkEnd w:id="158"/>
    </w:p>
    <w:p>
      <w:pPr>
        <w:spacing w:line="384" w:lineRule="auto"/>
        <w:ind w:firstLine="420" w:firstLineChars="200"/>
        <w:outlineLvl w:val="2"/>
        <w:rPr>
          <w:rFonts w:ascii="宋体" w:eastAsia="宋体" w:hAnsi="宋体" w:cs="宋体"/>
          <w:sz w:val="24"/>
          <w:szCs w:val="24"/>
          <w:highlight w:val="none"/>
        </w:rPr>
      </w:pPr>
      <w:bookmarkStart w:id="159" w:name="_Toc16154"/>
      <w:r>
        <w:rPr>
          <w:rFonts w:ascii="宋体" w:eastAsia="宋体" w:hAnsi="宋体" w:cs="宋体" w:hint="eastAsia"/>
          <w:sz w:val="24"/>
          <w:szCs w:val="24"/>
          <w:highlight w:val="none"/>
        </w:rPr>
        <w:t>2、重点机房-规划建设明细表</w:t>
      </w:r>
      <w:bookmarkEnd w:id="159"/>
    </w:p>
    <w:p>
      <w:pPr>
        <w:spacing w:line="384" w:lineRule="auto"/>
        <w:ind w:firstLine="420" w:firstLineChars="200"/>
        <w:outlineLvl w:val="2"/>
        <w:rPr>
          <w:rFonts w:ascii="宋体" w:eastAsia="宋体" w:hAnsi="宋体" w:cs="宋体"/>
          <w:sz w:val="24"/>
          <w:szCs w:val="24"/>
          <w:highlight w:val="none"/>
        </w:rPr>
      </w:pPr>
      <w:bookmarkStart w:id="160" w:name="_Toc15305"/>
      <w:r>
        <w:rPr>
          <w:rFonts w:ascii="宋体" w:eastAsia="宋体" w:hAnsi="宋体" w:cs="宋体" w:hint="eastAsia"/>
          <w:sz w:val="24"/>
          <w:szCs w:val="24"/>
          <w:highlight w:val="none"/>
        </w:rPr>
        <w:t>3、室内分布-规划建设明细表</w:t>
      </w:r>
      <w:bookmarkEnd w:id="160"/>
    </w:p>
    <w:p>
      <w:pPr>
        <w:spacing w:line="384" w:lineRule="auto"/>
        <w:ind w:firstLine="420" w:firstLineChars="200"/>
        <w:outlineLvl w:val="2"/>
        <w:rPr>
          <w:rFonts w:ascii="宋体" w:eastAsia="宋体" w:hAnsi="宋体" w:cs="宋体"/>
          <w:sz w:val="24"/>
          <w:szCs w:val="24"/>
          <w:highlight w:val="none"/>
        </w:rPr>
      </w:pPr>
      <w:bookmarkStart w:id="161" w:name="_Toc13165"/>
      <w:r>
        <w:rPr>
          <w:rFonts w:ascii="宋体" w:eastAsia="宋体" w:hAnsi="宋体" w:cs="宋体" w:hint="eastAsia"/>
          <w:sz w:val="24"/>
          <w:szCs w:val="24"/>
          <w:highlight w:val="none"/>
        </w:rPr>
        <w:t>4、传输管道-规划建设明细表</w:t>
      </w:r>
      <w:bookmarkEnd w:id="161"/>
    </w:p>
    <w:p>
      <w:pPr>
        <w:spacing w:line="384" w:lineRule="auto"/>
        <w:ind w:firstLine="420" w:firstLineChars="200"/>
        <w:outlineLvl w:val="2"/>
        <w:rPr>
          <w:rFonts w:ascii="宋体" w:eastAsia="宋体" w:hAnsi="宋体" w:cs="宋体"/>
          <w:sz w:val="24"/>
          <w:szCs w:val="24"/>
          <w:highlight w:val="none"/>
        </w:rPr>
      </w:pPr>
      <w:bookmarkStart w:id="162" w:name="_Toc8604"/>
      <w:r>
        <w:rPr>
          <w:rFonts w:ascii="宋体" w:eastAsia="宋体" w:hAnsi="宋体" w:cs="宋体" w:hint="eastAsia"/>
          <w:sz w:val="24"/>
          <w:szCs w:val="24"/>
          <w:highlight w:val="none"/>
        </w:rPr>
        <w:t>5、光交节点-规划建设明细表</w:t>
      </w:r>
      <w:bookmarkEnd w:id="162"/>
    </w:p>
    <w:p>
      <w:pPr>
        <w:pStyle w:val="Heading3"/>
        <w:keepNext w:val="0"/>
        <w:keepLines w:val="0"/>
        <w:numPr>
          <w:ilvl w:val="0"/>
          <w:numId w:val="20"/>
        </w:numPr>
        <w:spacing w:line="360" w:lineRule="auto"/>
        <w:ind w:firstLine="420" w:firstLineChars="200"/>
        <w:rPr>
          <w:highlight w:val="none"/>
        </w:rPr>
      </w:pPr>
      <w:bookmarkStart w:id="163" w:name="_Toc15663"/>
      <w:r>
        <w:rPr>
          <w:rFonts w:ascii="宋体" w:eastAsia="宋体" w:hAnsi="宋体" w:cs="宋体" w:hint="eastAsia"/>
          <w:sz w:val="28"/>
          <w:szCs w:val="28"/>
          <w:highlight w:val="none"/>
        </w:rPr>
        <w:t>规划附件2: 通信基础设施现状与规划图纸</w:t>
      </w:r>
      <w:bookmarkEnd w:id="163"/>
    </w:p>
    <w:p>
      <w:pPr>
        <w:spacing w:line="384" w:lineRule="auto"/>
        <w:ind w:firstLine="420" w:firstLineChars="200"/>
        <w:outlineLvl w:val="2"/>
        <w:rPr>
          <w:rFonts w:ascii="宋体" w:eastAsia="宋体" w:hAnsi="宋体" w:cs="宋体"/>
          <w:sz w:val="24"/>
          <w:szCs w:val="24"/>
          <w:highlight w:val="none"/>
        </w:rPr>
      </w:pPr>
      <w:bookmarkStart w:id="164" w:name="_Toc18372"/>
      <w:r>
        <w:rPr>
          <w:rFonts w:ascii="宋体" w:eastAsia="宋体" w:hAnsi="宋体" w:cs="宋体" w:hint="eastAsia"/>
          <w:sz w:val="24"/>
          <w:szCs w:val="24"/>
          <w:highlight w:val="none"/>
        </w:rPr>
        <w:t>01、北海市国土空间总体规划（5G基站站点规划图）</w:t>
      </w:r>
      <w:bookmarkEnd w:id="164"/>
      <w:r>
        <w:rPr>
          <w:rFonts w:ascii="宋体" w:eastAsia="宋体" w:hAnsi="宋体" w:cs="宋体" w:hint="eastAsia"/>
          <w:sz w:val="24"/>
          <w:szCs w:val="24"/>
          <w:highlight w:val="none"/>
        </w:rPr>
        <w:t xml:space="preserve"> </w:t>
      </w:r>
    </w:p>
    <w:p>
      <w:pPr>
        <w:spacing w:line="384" w:lineRule="auto"/>
        <w:ind w:firstLine="420" w:firstLineChars="200"/>
        <w:outlineLvl w:val="2"/>
        <w:rPr>
          <w:rFonts w:ascii="宋体" w:eastAsia="宋体" w:hAnsi="宋体" w:cs="宋体"/>
          <w:sz w:val="24"/>
          <w:szCs w:val="24"/>
          <w:highlight w:val="none"/>
        </w:rPr>
      </w:pPr>
      <w:bookmarkStart w:id="165" w:name="_Toc8456"/>
      <w:r>
        <w:rPr>
          <w:rFonts w:ascii="宋体" w:eastAsia="宋体" w:hAnsi="宋体" w:cs="宋体" w:hint="eastAsia"/>
          <w:sz w:val="24"/>
          <w:szCs w:val="24"/>
          <w:highlight w:val="none"/>
        </w:rPr>
        <w:t>02、北海市国土空间总体规划（中心城区—5G基站站点规划图）</w:t>
      </w:r>
      <w:bookmarkEnd w:id="165"/>
    </w:p>
    <w:p>
      <w:pPr>
        <w:spacing w:line="384" w:lineRule="auto"/>
        <w:ind w:firstLine="420" w:firstLineChars="200"/>
        <w:outlineLvl w:val="2"/>
        <w:rPr>
          <w:rFonts w:ascii="宋体" w:eastAsia="宋体" w:hAnsi="宋体" w:cs="宋体"/>
          <w:sz w:val="24"/>
          <w:szCs w:val="24"/>
          <w:highlight w:val="none"/>
        </w:rPr>
      </w:pPr>
      <w:bookmarkStart w:id="166" w:name="_Toc14182"/>
      <w:r>
        <w:rPr>
          <w:rFonts w:ascii="宋体" w:eastAsia="宋体" w:hAnsi="宋体" w:cs="宋体" w:hint="eastAsia"/>
          <w:sz w:val="24"/>
          <w:szCs w:val="24"/>
          <w:highlight w:val="none"/>
        </w:rPr>
        <w:t>03、北海市(城区) 5G基站规划站点热力图</w:t>
      </w:r>
      <w:bookmarkEnd w:id="166"/>
    </w:p>
    <w:p>
      <w:pPr>
        <w:spacing w:line="384" w:lineRule="auto"/>
        <w:ind w:firstLine="420" w:firstLineChars="200"/>
        <w:outlineLvl w:val="2"/>
        <w:rPr>
          <w:rFonts w:ascii="宋体" w:eastAsia="宋体" w:hAnsi="宋体" w:cs="宋体"/>
          <w:sz w:val="24"/>
          <w:szCs w:val="24"/>
          <w:highlight w:val="none"/>
        </w:rPr>
      </w:pPr>
      <w:bookmarkStart w:id="167" w:name="_Toc9786"/>
      <w:r>
        <w:rPr>
          <w:rFonts w:ascii="宋体" w:eastAsia="宋体" w:hAnsi="宋体" w:cs="宋体" w:hint="eastAsia"/>
          <w:sz w:val="24"/>
          <w:szCs w:val="24"/>
          <w:highlight w:val="none"/>
        </w:rPr>
        <w:t>04、北海市（城区）5G信号覆盖范围现状图</w:t>
      </w:r>
      <w:bookmarkEnd w:id="167"/>
      <w:r>
        <w:rPr>
          <w:rFonts w:ascii="宋体" w:eastAsia="宋体" w:hAnsi="宋体" w:cs="宋体" w:hint="eastAsia"/>
          <w:sz w:val="24"/>
          <w:szCs w:val="24"/>
          <w:highlight w:val="none"/>
        </w:rPr>
        <w:t xml:space="preserve"> </w:t>
      </w:r>
    </w:p>
    <w:p>
      <w:pPr>
        <w:spacing w:line="384" w:lineRule="auto"/>
        <w:ind w:firstLine="420" w:firstLineChars="200"/>
        <w:outlineLvl w:val="2"/>
        <w:rPr>
          <w:rFonts w:ascii="宋体" w:eastAsia="宋体" w:hAnsi="宋体" w:cs="宋体"/>
          <w:sz w:val="24"/>
          <w:szCs w:val="24"/>
          <w:highlight w:val="none"/>
        </w:rPr>
      </w:pPr>
      <w:bookmarkStart w:id="168" w:name="_Toc15012"/>
      <w:r>
        <w:rPr>
          <w:rFonts w:ascii="宋体" w:eastAsia="宋体" w:hAnsi="宋体" w:cs="宋体" w:hint="eastAsia"/>
          <w:sz w:val="24"/>
          <w:szCs w:val="24"/>
          <w:highlight w:val="none"/>
        </w:rPr>
        <w:t>05、北海市（城区）5G信号覆盖范围规划图</w:t>
      </w:r>
      <w:bookmarkEnd w:id="168"/>
    </w:p>
    <w:p>
      <w:pPr>
        <w:spacing w:line="384" w:lineRule="auto"/>
        <w:ind w:firstLine="420" w:firstLineChars="200"/>
        <w:outlineLvl w:val="2"/>
        <w:rPr>
          <w:rFonts w:ascii="宋体" w:eastAsia="宋体" w:hAnsi="宋体" w:cs="宋体"/>
          <w:sz w:val="24"/>
          <w:szCs w:val="24"/>
          <w:highlight w:val="none"/>
        </w:rPr>
      </w:pPr>
      <w:bookmarkStart w:id="169" w:name="_Toc13988"/>
      <w:r>
        <w:rPr>
          <w:rFonts w:ascii="宋体" w:eastAsia="宋体" w:hAnsi="宋体" w:cs="宋体" w:hint="eastAsia"/>
          <w:sz w:val="24"/>
          <w:szCs w:val="24"/>
          <w:highlight w:val="none"/>
        </w:rPr>
        <w:t>06、北海市国土空间总体规划（重点机房规划图）</w:t>
      </w:r>
      <w:bookmarkEnd w:id="169"/>
      <w:r>
        <w:rPr>
          <w:rFonts w:ascii="宋体" w:eastAsia="宋体" w:hAnsi="宋体" w:cs="宋体" w:hint="eastAsia"/>
          <w:sz w:val="24"/>
          <w:szCs w:val="24"/>
          <w:highlight w:val="none"/>
        </w:rPr>
        <w:t xml:space="preserve"> </w:t>
      </w:r>
    </w:p>
    <w:p>
      <w:pPr>
        <w:spacing w:line="384" w:lineRule="auto"/>
        <w:ind w:firstLine="420" w:firstLineChars="200"/>
        <w:outlineLvl w:val="2"/>
        <w:rPr>
          <w:rFonts w:ascii="宋体" w:eastAsia="宋体" w:hAnsi="宋体" w:cs="宋体"/>
          <w:sz w:val="24"/>
          <w:szCs w:val="24"/>
          <w:highlight w:val="none"/>
        </w:rPr>
      </w:pPr>
      <w:bookmarkStart w:id="170" w:name="_Toc17180"/>
      <w:r>
        <w:rPr>
          <w:rFonts w:ascii="宋体" w:eastAsia="宋体" w:hAnsi="宋体" w:cs="宋体" w:hint="eastAsia"/>
          <w:sz w:val="24"/>
          <w:szCs w:val="24"/>
          <w:highlight w:val="none"/>
        </w:rPr>
        <w:t>07、北海市国土空间总体规划（中心城区—重点机房规划图）</w:t>
      </w:r>
      <w:bookmarkEnd w:id="170"/>
      <w:r>
        <w:rPr>
          <w:rFonts w:ascii="宋体" w:eastAsia="宋体" w:hAnsi="宋体" w:cs="宋体" w:hint="eastAsia"/>
          <w:sz w:val="24"/>
          <w:szCs w:val="24"/>
          <w:highlight w:val="none"/>
        </w:rPr>
        <w:t xml:space="preserve"> </w:t>
      </w:r>
    </w:p>
    <w:p>
      <w:pPr>
        <w:spacing w:line="384" w:lineRule="auto"/>
        <w:ind w:firstLine="420" w:firstLineChars="200"/>
        <w:outlineLvl w:val="2"/>
        <w:rPr>
          <w:rFonts w:ascii="宋体" w:eastAsia="宋体" w:hAnsi="宋体" w:cs="宋体"/>
          <w:sz w:val="24"/>
          <w:szCs w:val="24"/>
          <w:highlight w:val="none"/>
        </w:rPr>
      </w:pPr>
      <w:bookmarkStart w:id="171" w:name="_Toc22460"/>
      <w:r>
        <w:rPr>
          <w:rFonts w:ascii="宋体" w:eastAsia="宋体" w:hAnsi="宋体" w:cs="宋体" w:hint="eastAsia"/>
          <w:sz w:val="24"/>
          <w:szCs w:val="24"/>
          <w:highlight w:val="none"/>
        </w:rPr>
        <w:t>08、北海市国土空间总体规划（光交节点规划图_01）</w:t>
      </w:r>
      <w:bookmarkEnd w:id="171"/>
      <w:r>
        <w:rPr>
          <w:rFonts w:ascii="宋体" w:eastAsia="宋体" w:hAnsi="宋体" w:cs="宋体" w:hint="eastAsia"/>
          <w:sz w:val="24"/>
          <w:szCs w:val="24"/>
          <w:highlight w:val="none"/>
        </w:rPr>
        <w:t xml:space="preserve"> </w:t>
      </w:r>
    </w:p>
    <w:p>
      <w:pPr>
        <w:spacing w:line="384" w:lineRule="auto"/>
        <w:ind w:firstLine="420" w:firstLineChars="200"/>
        <w:outlineLvl w:val="2"/>
        <w:rPr>
          <w:rFonts w:ascii="宋体" w:eastAsia="宋体" w:hAnsi="宋体" w:cs="宋体"/>
          <w:sz w:val="24"/>
          <w:szCs w:val="24"/>
          <w:highlight w:val="none"/>
        </w:rPr>
      </w:pPr>
      <w:bookmarkStart w:id="172" w:name="_Toc31091"/>
      <w:r>
        <w:rPr>
          <w:rFonts w:ascii="宋体" w:eastAsia="宋体" w:hAnsi="宋体" w:cs="宋体" w:hint="eastAsia"/>
          <w:sz w:val="24"/>
          <w:szCs w:val="24"/>
          <w:highlight w:val="none"/>
        </w:rPr>
        <w:t>09、北海市国土空间总体规划（光交节点规划图_02）</w:t>
      </w:r>
      <w:bookmarkEnd w:id="172"/>
      <w:r>
        <w:rPr>
          <w:rFonts w:ascii="宋体" w:eastAsia="宋体" w:hAnsi="宋体" w:cs="宋体" w:hint="eastAsia"/>
          <w:sz w:val="24"/>
          <w:szCs w:val="24"/>
          <w:highlight w:val="none"/>
        </w:rPr>
        <w:t xml:space="preserve"> </w:t>
      </w:r>
    </w:p>
    <w:p>
      <w:pPr>
        <w:spacing w:line="384" w:lineRule="auto"/>
        <w:ind w:firstLine="420" w:firstLineChars="200"/>
        <w:outlineLvl w:val="2"/>
        <w:rPr>
          <w:rFonts w:ascii="宋体" w:eastAsia="宋体" w:hAnsi="宋体" w:cs="宋体"/>
          <w:sz w:val="24"/>
          <w:szCs w:val="24"/>
          <w:highlight w:val="none"/>
        </w:rPr>
      </w:pPr>
      <w:bookmarkStart w:id="173" w:name="_Toc3188"/>
      <w:r>
        <w:rPr>
          <w:rFonts w:ascii="宋体" w:eastAsia="宋体" w:hAnsi="宋体" w:cs="宋体" w:hint="eastAsia"/>
          <w:sz w:val="24"/>
          <w:szCs w:val="24"/>
          <w:highlight w:val="none"/>
        </w:rPr>
        <w:t>10、北海市国土空间总体规划（通信管道规划图_01）</w:t>
      </w:r>
      <w:bookmarkEnd w:id="173"/>
    </w:p>
    <w:p>
      <w:pPr>
        <w:spacing w:line="384" w:lineRule="auto"/>
        <w:ind w:firstLine="420" w:firstLineChars="200"/>
        <w:outlineLvl w:val="2"/>
        <w:rPr>
          <w:rFonts w:ascii="宋体" w:eastAsia="宋体" w:hAnsi="宋体" w:cs="宋体"/>
          <w:sz w:val="24"/>
          <w:szCs w:val="24"/>
          <w:highlight w:val="none"/>
        </w:rPr>
      </w:pPr>
      <w:bookmarkStart w:id="174" w:name="_Toc26163"/>
      <w:r>
        <w:rPr>
          <w:rFonts w:ascii="宋体" w:eastAsia="宋体" w:hAnsi="宋体" w:cs="宋体" w:hint="eastAsia"/>
          <w:sz w:val="24"/>
          <w:szCs w:val="24"/>
          <w:highlight w:val="none"/>
        </w:rPr>
        <w:t>11、北海市国土空间总体规划（通信管道规划图_02）</w:t>
      </w:r>
      <w:bookmarkEnd w:id="174"/>
    </w:p>
    <w:sectPr>
      <w:headerReference w:type="default" r:id="rId78"/>
      <w:footerReference w:type="default" r:id="rId79"/>
      <w:pgSz w:w="23811" w:h="16838" w:orient="landscape"/>
      <w:pgMar w:top="1800" w:right="1440" w:bottom="1800" w:left="1440" w:header="851" w:footer="992" w:gutter="0"/>
      <w:pgBorders w:offsetFrom="page">
        <w:top w:val="single" w:sz="8" w:space="24" w:color="auto"/>
        <w:left w:val="single" w:sz="8" w:space="24" w:color="auto"/>
        <w:bottom w:val="single" w:sz="8" w:space="24" w:color="auto"/>
        <w:right w:val="single" w:sz="8" w:space="24" w:color="auto"/>
      </w:pgBorders>
      <w:cols w:num="2" w:space="720" w:equalWidth="0">
        <w:col w:w="10253" w:space="630"/>
        <w:col w:w="10048"/>
      </w:cols>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Microsoft JhengHei">
    <w:panose1 w:val="020B0604030504040204"/>
    <w:charset w:val="88"/>
    <w:family w:val="swiss"/>
    <w:pitch w:val="default"/>
    <w:sig w:usb0="000002A7" w:usb1="28CF4400" w:usb2="00000016" w:usb3="00000000" w:csb0="00100009"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长城仿宋">
    <w:altName w:val="黑体"/>
    <w:panose1 w:val="00000000000000000000"/>
    <w:charset w:val="86"/>
    <w:family w:val="modern"/>
    <w:pitch w:val="default"/>
    <w:sig w:usb0="00000000" w:usb1="00000000" w:usb2="00000010" w:usb3="00000000" w:csb0="00040000"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方正综艺简体">
    <w:altName w:val="宋体"/>
    <w:panose1 w:val="00000000000000000000"/>
    <w:charset w:val="86"/>
    <w:family w:val="auto"/>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xmlns:wps="http://schemas.microsoft.com/office/word/2010/wordprocessingShape">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Footer"/>
                          </w:pPr>
                          <w:r>
                            <w:rPr>
                              <w:rFonts w:ascii="宋体" w:eastAsia="宋体" w:hAnsi="宋体" w:cs="宋体" w:hint="eastAsia"/>
                              <w:sz w:val="24"/>
                              <w:szCs w:val="24"/>
                            </w:rPr>
                            <w:fldChar w:fldCharType="begin"/>
                          </w:r>
                          <w:r>
                            <w:rPr>
                              <w:rFonts w:ascii="宋体" w:eastAsia="宋体" w:hAnsi="宋体" w:cs="宋体" w:hint="eastAsia"/>
                              <w:sz w:val="24"/>
                              <w:szCs w:val="24"/>
                            </w:rPr>
                            <w:instrText xml:space="preserve"> PAGE  \* MERGEFORMAT </w:instrText>
                          </w:r>
                          <w:r>
                            <w:rPr>
                              <w:rFonts w:ascii="宋体" w:eastAsia="宋体" w:hAnsi="宋体" w:cs="宋体" w:hint="eastAsia"/>
                              <w:sz w:val="24"/>
                              <w:szCs w:val="24"/>
                            </w:rPr>
                            <w:fldChar w:fldCharType="separate"/>
                          </w:r>
                          <w:r>
                            <w:rPr>
                              <w:rFonts w:ascii="宋体" w:eastAsia="宋体" w:hAnsi="宋体" w:cs="宋体"/>
                              <w:sz w:val="24"/>
                              <w:szCs w:val="24"/>
                            </w:rPr>
                            <w:t>1</w:t>
                          </w:r>
                          <w:r>
                            <w:rPr>
                              <w:rFonts w:ascii="宋体" w:eastAsia="宋体" w:hAnsi="宋体" w:cs="宋体" w:hint="eastAsia"/>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_x0000_s1026" o:spid="_x0000_s2050" type="#_x0000_t202" style="height:2in;margin-left:0;margin-top:0;mso-height-relative:page;mso-position-horizontal:center;mso-position-horizontal-relative:margin;mso-width-relative:page;mso-wrap-style:none;position:absolute;width:2in;z-index:251662336" coordsize="21600,21600" filled="f" stroked="f">
              <o:lock v:ext="edit" aspectratio="f"/>
              <v:textbox style="mso-fit-shape-to-text:t" inset="0,0,0,0">
                <w:txbxContent>
                  <w:p>
                    <w:pPr>
                      <w:pStyle w:val="Footer"/>
                    </w:pPr>
                    <w:r>
                      <w:rPr>
                        <w:rFonts w:ascii="宋体" w:eastAsia="宋体" w:hAnsi="宋体" w:cs="宋体" w:hint="eastAsia"/>
                        <w:sz w:val="24"/>
                        <w:szCs w:val="24"/>
                      </w:rPr>
                      <w:fldChar w:fldCharType="begin"/>
                    </w:r>
                    <w:r>
                      <w:rPr>
                        <w:rFonts w:ascii="宋体" w:eastAsia="宋体" w:hAnsi="宋体" w:cs="宋体" w:hint="eastAsia"/>
                        <w:sz w:val="24"/>
                        <w:szCs w:val="24"/>
                      </w:rPr>
                      <w:instrText xml:space="preserve"> PAGE  \* MERGEFORMAT </w:instrText>
                    </w:r>
                    <w:r>
                      <w:rPr>
                        <w:rFonts w:ascii="宋体" w:eastAsia="宋体" w:hAnsi="宋体" w:cs="宋体" w:hint="eastAsia"/>
                        <w:sz w:val="24"/>
                        <w:szCs w:val="24"/>
                      </w:rPr>
                      <w:fldChar w:fldCharType="separate"/>
                    </w:r>
                    <w:r>
                      <w:rPr>
                        <w:rFonts w:ascii="宋体" w:eastAsia="宋体" w:hAnsi="宋体" w:cs="宋体"/>
                        <w:sz w:val="24"/>
                        <w:szCs w:val="24"/>
                      </w:rPr>
                      <w:t>1</w:t>
                    </w:r>
                    <w:r>
                      <w:rPr>
                        <w:rFonts w:ascii="宋体" w:eastAsia="宋体" w:hAnsi="宋体" w:cs="宋体" w:hint="eastAsia"/>
                        <w:sz w:val="24"/>
                        <w:szCs w:val="24"/>
                      </w:rPr>
                      <w:fldChar w:fldCharType="end"/>
                    </w:r>
                  </w:p>
                </w:txbxContent>
              </v:textbox>
              <w10:wrap anchorx="margin"/>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xmlns:wps="http://schemas.microsoft.com/office/word/2010/wordprocessingShape">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Footer"/>
                            <w:rPr>
                              <w:rFonts w:ascii="宋体" w:eastAsia="宋体" w:hAnsi="宋体" w:cs="宋体"/>
                              <w:sz w:val="21"/>
                              <w:szCs w:val="21"/>
                            </w:rPr>
                          </w:pPr>
                          <w:r>
                            <w:rPr>
                              <w:rFonts w:ascii="宋体" w:eastAsia="宋体" w:hAnsi="宋体" w:cs="宋体" w:hint="eastAsia"/>
                              <w:sz w:val="24"/>
                              <w:szCs w:val="24"/>
                            </w:rPr>
                            <w:fldChar w:fldCharType="begin"/>
                          </w:r>
                          <w:r>
                            <w:rPr>
                              <w:rFonts w:ascii="宋体" w:eastAsia="宋体" w:hAnsi="宋体" w:cs="宋体" w:hint="eastAsia"/>
                              <w:sz w:val="24"/>
                              <w:szCs w:val="24"/>
                            </w:rPr>
                            <w:instrText xml:space="preserve"> PAGE  \* MERGEFORMAT </w:instrText>
                          </w:r>
                          <w:r>
                            <w:rPr>
                              <w:rFonts w:ascii="宋体" w:eastAsia="宋体" w:hAnsi="宋体" w:cs="宋体" w:hint="eastAsia"/>
                              <w:sz w:val="24"/>
                              <w:szCs w:val="24"/>
                            </w:rPr>
                            <w:fldChar w:fldCharType="separate"/>
                          </w:r>
                          <w:r>
                            <w:rPr>
                              <w:rFonts w:ascii="宋体" w:eastAsia="宋体" w:hAnsi="宋体" w:cs="宋体"/>
                              <w:sz w:val="24"/>
                              <w:szCs w:val="24"/>
                            </w:rPr>
                            <w:t>17</w:t>
                          </w:r>
                          <w:r>
                            <w:rPr>
                              <w:rFonts w:ascii="宋体" w:eastAsia="宋体" w:hAnsi="宋体" w:cs="宋体" w:hint="eastAsia"/>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_x0000_s1026" o:spid="_x0000_s2051" type="#_x0000_t202" style="height:2in;margin-left:0;margin-top:0;mso-height-relative:page;mso-position-horizontal:center;mso-position-horizontal-relative:margin;mso-width-relative:page;mso-wrap-style:none;position:absolute;width:2in;z-index:251660288" coordsize="21600,21600" filled="f" stroked="f">
              <o:lock v:ext="edit" aspectratio="f"/>
              <v:textbox style="mso-fit-shape-to-text:t" inset="0,0,0,0">
                <w:txbxContent>
                  <w:p>
                    <w:pPr>
                      <w:pStyle w:val="Footer"/>
                      <w:rPr>
                        <w:rFonts w:ascii="宋体" w:eastAsia="宋体" w:hAnsi="宋体" w:cs="宋体"/>
                        <w:sz w:val="21"/>
                        <w:szCs w:val="21"/>
                      </w:rPr>
                    </w:pPr>
                    <w:r>
                      <w:rPr>
                        <w:rFonts w:ascii="宋体" w:eastAsia="宋体" w:hAnsi="宋体" w:cs="宋体" w:hint="eastAsia"/>
                        <w:sz w:val="24"/>
                        <w:szCs w:val="24"/>
                      </w:rPr>
                      <w:fldChar w:fldCharType="begin"/>
                    </w:r>
                    <w:r>
                      <w:rPr>
                        <w:rFonts w:ascii="宋体" w:eastAsia="宋体" w:hAnsi="宋体" w:cs="宋体" w:hint="eastAsia"/>
                        <w:sz w:val="24"/>
                        <w:szCs w:val="24"/>
                      </w:rPr>
                      <w:instrText xml:space="preserve"> PAGE  \* MERGEFORMAT </w:instrText>
                    </w:r>
                    <w:r>
                      <w:rPr>
                        <w:rFonts w:ascii="宋体" w:eastAsia="宋体" w:hAnsi="宋体" w:cs="宋体" w:hint="eastAsia"/>
                        <w:sz w:val="24"/>
                        <w:szCs w:val="24"/>
                      </w:rPr>
                      <w:fldChar w:fldCharType="separate"/>
                    </w:r>
                    <w:r>
                      <w:rPr>
                        <w:rFonts w:ascii="宋体" w:eastAsia="宋体" w:hAnsi="宋体" w:cs="宋体"/>
                        <w:sz w:val="24"/>
                        <w:szCs w:val="24"/>
                      </w:rPr>
                      <w:t>17</w:t>
                    </w:r>
                    <w:r>
                      <w:rPr>
                        <w:rFonts w:ascii="宋体" w:eastAsia="宋体" w:hAnsi="宋体" w:cs="宋体" w:hint="eastAsia"/>
                        <w:sz w:val="24"/>
                        <w:szCs w:val="24"/>
                      </w:rPr>
                      <w:fldChar w:fldCharType="end"/>
                    </w:r>
                  </w:p>
                </w:txbxContent>
              </v:textbox>
              <w10:wrap anchorx="margin"/>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pBdr>
        <w:bottom w:val="none" w:sz="0" w:space="0" w:color="auto"/>
      </w:pBdr>
      <w:ind w:firstLine="360"/>
    </w:pPr>
    <w:r>
      <w:pict>
        <v:shapetype id="_x0000_t202" coordsize="21600,21600" o:spt="202" path="m,l,21600r21600,l21600,xe">
          <v:stroke joinstyle="miter"/>
          <v:path gradientshapeok="t" o:connecttype="rect"/>
        </v:shapetype>
        <v:shape id="ImpTraceLabel" o:spid="_x0000_s2049" type="#_x0000_t202" style="height:0;margin-left:0;margin-top:0;mso-position-horizontal-relative:page;mso-position-vertical-relative:page;position:absolute;width:0;z-index:251658240" filled="f" stroked="f">
          <v:path strokeok="f" textboxrect="0,0,21600,21600"/>
          <v:textbox>
            <w:txbxContent>
              <w:p>
                <w:r>
                  <w:t>ImpTraceLabel=PD94bWwgdmVyc2lvbj0nMS4wJyBlbmNvZGluZz0nVVRGLTgnPz48dHJhY2U+PGNvbnRlbnQ+PC9jb250ZW50PjxhY2NvdW50PnNhM3N3N2w1NzFqYjh1YWM1Ym9ncTI8L2FjY291bnQ+PG1hY2hpbmVDb2RlPjA2OTk0NjMwMDVDQgo8L21hY2hpbmVDb2RlPjx0aW1lPjIwMjQtMDktMDYgMTk6Mjg6MjQ8L3RpbWU+PHN5c3RlbT5NQjxzeXN0ZW0+PC90cmFjZT4=</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pBdr>
        <w:bottom w:val="none" w:sz="0" w:space="1" w:color="auto"/>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tabs>
        <w:tab w:val="left" w:pos="6615"/>
      </w:tabs>
      <w:ind w:firstLine="420"/>
    </w:pP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ind w:firstLine="420" w:firstLineChars="200"/>
      <w:jc w:val="both"/>
    </w:pPr>
    <w:r>
      <w:rPr>
        <w:rFonts w:hint="eastAsia"/>
        <w:lang w:val="zh-CN"/>
      </w:rPr>
      <w:t>广西北海市（</w:t>
    </w:r>
    <w:r>
      <w:rPr>
        <w:rFonts w:hint="eastAsia"/>
      </w:rPr>
      <w:t>城区</w:t>
    </w:r>
    <w:r>
      <w:rPr>
        <w:rFonts w:hint="eastAsia"/>
        <w:lang w:val="zh-CN"/>
      </w:rPr>
      <w:t>）5G通信基础设施专项规划（</w:t>
    </w:r>
    <w:r>
      <w:rPr>
        <w:rFonts w:hint="eastAsia"/>
      </w:rPr>
      <w:t>2023-2030</w:t>
    </w:r>
    <w:r>
      <w:rPr>
        <w:rFonts w:hint="eastAsia"/>
        <w:lang w:val="en-US" w:eastAsia="zh-CN"/>
      </w:rPr>
      <w:t>年</w:t>
    </w:r>
    <w:r>
      <w:rPr>
        <w:rFonts w:hint="eastAsia"/>
        <w:lang w:val="zh-CN"/>
      </w:rPr>
      <w:t>）</w:t>
    </w:r>
    <w:r>
      <w:rPr>
        <w:rFonts w:hint="eastAsia"/>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pBdr>
        <w:bottom w:val="single" w:sz="4" w:space="1" w:color="auto"/>
      </w:pBdr>
      <w:ind w:firstLine="420" w:firstLineChars="200"/>
      <w:jc w:val="both"/>
      <w:rPr>
        <w:rFonts w:ascii="等线" w:eastAsia="等线" w:hAnsi="等线" w:cs="等线"/>
      </w:rPr>
    </w:pPr>
    <w:r>
      <w:rPr>
        <w:rFonts w:ascii="等线" w:eastAsia="等线" w:hAnsi="等线" w:cs="等线" w:hint="eastAsia"/>
        <w:lang w:val="zh-CN"/>
      </w:rPr>
      <w:t>广西北海市</w:t>
    </w:r>
    <w:r>
      <w:rPr>
        <w:rFonts w:hint="eastAsia"/>
        <w:lang w:val="zh-CN"/>
      </w:rPr>
      <w:t>（</w:t>
    </w:r>
    <w:r>
      <w:rPr>
        <w:rFonts w:hint="eastAsia"/>
      </w:rPr>
      <w:t>城区</w:t>
    </w:r>
    <w:r>
      <w:rPr>
        <w:rFonts w:hint="eastAsia"/>
        <w:lang w:val="zh-CN"/>
      </w:rPr>
      <w:t>）</w:t>
    </w:r>
    <w:r>
      <w:rPr>
        <w:rFonts w:ascii="等线" w:eastAsia="等线" w:hAnsi="等线" w:cs="等线" w:hint="eastAsia"/>
        <w:lang w:val="zh-CN"/>
      </w:rPr>
      <w:t>5G通信基础设施专项规划（</w:t>
    </w:r>
    <w:r>
      <w:rPr>
        <w:rFonts w:ascii="等线" w:eastAsia="等线" w:hAnsi="等线" w:cs="等线" w:hint="eastAsia"/>
      </w:rPr>
      <w:t>2023-2030</w:t>
    </w:r>
    <w:r>
      <w:rPr>
        <w:rFonts w:ascii="等线" w:eastAsia="等线" w:hAnsi="等线" w:cs="等线" w:hint="eastAsia"/>
        <w:lang w:val="en-US" w:eastAsia="zh-CN"/>
      </w:rPr>
      <w:t>年</w:t>
    </w:r>
    <w:r>
      <w:rPr>
        <w:rFonts w:ascii="等线" w:eastAsia="等线" w:hAnsi="等线" w:cs="等线" w:hint="eastAsia"/>
        <w:lang w:val="zh-CN"/>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80926A71"/>
    <w:multiLevelType w:val="singleLevel"/>
    <w:tmpl w:val="80926A71"/>
    <w:lvl w:ilvl="0">
      <w:start w:val="5"/>
      <w:numFmt w:val="chineseCounting"/>
      <w:suff w:val="nothing"/>
      <w:lvlText w:val="%1、"/>
      <w:lvlJc w:val="left"/>
      <w:rPr>
        <w:rFonts w:hint="eastAsia"/>
      </w:rPr>
    </w:lvl>
  </w:abstractNum>
  <w:abstractNum w:abstractNumId="1">
    <w:nsid w:val="BBBE576D"/>
    <w:multiLevelType w:val="singleLevel"/>
    <w:tmpl w:val="BBBE576D"/>
    <w:lvl w:ilvl="0">
      <w:start w:val="2"/>
      <w:numFmt w:val="chineseCounting"/>
      <w:suff w:val="nothing"/>
      <w:lvlText w:val="%1、"/>
      <w:lvlJc w:val="left"/>
      <w:rPr>
        <w:rFonts w:hint="eastAsia"/>
      </w:rPr>
    </w:lvl>
  </w:abstractNum>
  <w:abstractNum w:abstractNumId="2">
    <w:nsid w:val="CA323A88"/>
    <w:multiLevelType w:val="multilevel"/>
    <w:tmpl w:val="CA323A88"/>
    <w:lvl w:ilvl="0">
      <w:start w:val="1"/>
      <w:numFmt w:val="decimal"/>
      <w:suff w:val="nothing"/>
      <w:lvlText w:val="%1."/>
      <w:lvlJc w:val="left"/>
      <w:pPr>
        <w:ind w:left="0" w:firstLine="1134"/>
      </w:pPr>
      <w:rPr>
        <w:rFonts w:hint="eastAsia"/>
      </w:rPr>
    </w:lvl>
    <w:lvl w:ilvl="1">
      <w:start w:val="1"/>
      <w:numFmt w:val="lowerLetter"/>
      <w:lvlText w:val="%2)"/>
      <w:lvlJc w:val="left"/>
      <w:pPr>
        <w:ind w:left="2158" w:hanging="420"/>
      </w:pPr>
    </w:lvl>
    <w:lvl w:ilvl="2">
      <w:start w:val="1"/>
      <w:numFmt w:val="lowerRoman"/>
      <w:lvlText w:val="%3."/>
      <w:lvlJc w:val="right"/>
      <w:pPr>
        <w:ind w:left="2578" w:hanging="420"/>
      </w:pPr>
    </w:lvl>
    <w:lvl w:ilvl="3">
      <w:start w:val="1"/>
      <w:numFmt w:val="decimal"/>
      <w:lvlText w:val="%4."/>
      <w:lvlJc w:val="left"/>
      <w:pPr>
        <w:ind w:left="2998" w:hanging="420"/>
      </w:pPr>
    </w:lvl>
    <w:lvl w:ilvl="4">
      <w:start w:val="1"/>
      <w:numFmt w:val="lowerLetter"/>
      <w:lvlText w:val="%5)"/>
      <w:lvlJc w:val="left"/>
      <w:pPr>
        <w:ind w:left="3418" w:hanging="420"/>
      </w:pPr>
    </w:lvl>
    <w:lvl w:ilvl="5">
      <w:start w:val="1"/>
      <w:numFmt w:val="lowerRoman"/>
      <w:lvlText w:val="%6."/>
      <w:lvlJc w:val="right"/>
      <w:pPr>
        <w:ind w:left="3838" w:hanging="420"/>
      </w:pPr>
    </w:lvl>
    <w:lvl w:ilvl="6">
      <w:start w:val="1"/>
      <w:numFmt w:val="decimal"/>
      <w:lvlText w:val="%7."/>
      <w:lvlJc w:val="left"/>
      <w:pPr>
        <w:ind w:left="4258" w:hanging="420"/>
      </w:pPr>
    </w:lvl>
    <w:lvl w:ilvl="7">
      <w:start w:val="1"/>
      <w:numFmt w:val="lowerLetter"/>
      <w:lvlText w:val="%8)"/>
      <w:lvlJc w:val="left"/>
      <w:pPr>
        <w:ind w:left="4678" w:hanging="420"/>
      </w:pPr>
    </w:lvl>
    <w:lvl w:ilvl="8">
      <w:start w:val="1"/>
      <w:numFmt w:val="lowerRoman"/>
      <w:lvlText w:val="%9."/>
      <w:lvlJc w:val="right"/>
      <w:pPr>
        <w:ind w:left="5098" w:hanging="420"/>
      </w:pPr>
    </w:lvl>
  </w:abstractNum>
  <w:abstractNum w:abstractNumId="3">
    <w:nsid w:val="CAFC4F6C"/>
    <w:multiLevelType w:val="multilevel"/>
    <w:tmpl w:val="CAFC4F6C"/>
    <w:lvl w:ilvl="0">
      <w:start w:val="1"/>
      <w:numFmt w:val="decimal"/>
      <w:suff w:val="nothing"/>
      <w:lvlText w:val="（%1）"/>
      <w:lvlJc w:val="left"/>
      <w:pPr>
        <w:ind w:left="900" w:hanging="420"/>
      </w:pPr>
      <w:rPr>
        <w:rFonts w:ascii="宋体" w:eastAsia="宋体" w:hAnsi="宋体" w:cs="宋体" w:hint="default"/>
        <w:b w:val="0"/>
        <w:bCs w:val="0"/>
        <w:spacing w:val="-1"/>
        <w:w w:val="100"/>
        <w:sz w:val="24"/>
        <w:szCs w:val="24"/>
        <w:lang w:val="zh-CN" w:eastAsia="zh-CN" w:bidi="zh-CN"/>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D2BEE827"/>
    <w:multiLevelType w:val="singleLevel"/>
    <w:tmpl w:val="D2BEE827"/>
    <w:lvl w:ilvl="0">
      <w:start w:val="2"/>
      <w:numFmt w:val="decimal"/>
      <w:suff w:val="nothing"/>
      <w:lvlText w:val="%1、"/>
      <w:lvlJc w:val="left"/>
    </w:lvl>
  </w:abstractNum>
  <w:abstractNum w:abstractNumId="5">
    <w:nsid w:val="DC1D6429"/>
    <w:multiLevelType w:val="multilevel"/>
    <w:tmpl w:val="DC1D6429"/>
    <w:lvl w:ilvl="0">
      <w:start w:val="1"/>
      <w:numFmt w:val="decimal"/>
      <w:suff w:val="nothing"/>
      <w:lvlText w:val="（%1）"/>
      <w:lvlJc w:val="left"/>
      <w:pPr>
        <w:ind w:left="900" w:hanging="420"/>
      </w:pPr>
      <w:rPr>
        <w:rFonts w:ascii="宋体" w:eastAsia="宋体" w:hAnsi="宋体" w:cs="宋体" w:hint="default"/>
        <w:b w:val="0"/>
        <w:bCs w:val="0"/>
        <w:spacing w:val="-1"/>
        <w:w w:val="100"/>
        <w:sz w:val="24"/>
        <w:szCs w:val="24"/>
        <w:lang w:val="zh-CN" w:eastAsia="zh-CN" w:bidi="zh-CN"/>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
    <w:nsid w:val="E9646739"/>
    <w:multiLevelType w:val="singleLevel"/>
    <w:tmpl w:val="E9646739"/>
    <w:lvl w:ilvl="0">
      <w:start w:val="1"/>
      <w:numFmt w:val="decimal"/>
      <w:lvlText w:val="%1."/>
      <w:lvlJc w:val="left"/>
      <w:pPr>
        <w:ind w:left="425" w:hanging="425"/>
      </w:pPr>
      <w:rPr>
        <w:rFonts w:hint="default"/>
        <w:b w:val="0"/>
        <w:bCs w:val="0"/>
      </w:rPr>
    </w:lvl>
  </w:abstractNum>
  <w:abstractNum w:abstractNumId="7">
    <w:nsid w:val="EDD0988E"/>
    <w:multiLevelType w:val="singleLevel"/>
    <w:tmpl w:val="EDD0988E"/>
    <w:lvl w:ilvl="0">
      <w:start w:val="1"/>
      <w:numFmt w:val="chineseCounting"/>
      <w:suff w:val="nothing"/>
      <w:lvlText w:val="%1、"/>
      <w:lvlJc w:val="left"/>
      <w:rPr>
        <w:rFonts w:hint="eastAsia"/>
      </w:rPr>
    </w:lvl>
  </w:abstractNum>
  <w:abstractNum w:abstractNumId="8">
    <w:nsid w:val="04B58958"/>
    <w:multiLevelType w:val="singleLevel"/>
    <w:tmpl w:val="04B58958"/>
    <w:lvl w:ilvl="0">
      <w:start w:val="3"/>
      <w:numFmt w:val="chineseCounting"/>
      <w:suff w:val="nothing"/>
      <w:lvlText w:val="（%1）"/>
      <w:lvlJc w:val="left"/>
      <w:rPr>
        <w:rFonts w:hint="eastAsia"/>
      </w:rPr>
    </w:lvl>
  </w:abstractNum>
  <w:abstractNum w:abstractNumId="9">
    <w:nsid w:val="0E54A8C8"/>
    <w:multiLevelType w:val="singleLevel"/>
    <w:tmpl w:val="0E54A8C8"/>
    <w:lvl w:ilvl="0">
      <w:start w:val="2"/>
      <w:numFmt w:val="chineseCounting"/>
      <w:suff w:val="space"/>
      <w:lvlText w:val="第%1章"/>
      <w:lvlJc w:val="left"/>
      <w:rPr>
        <w:rFonts w:hint="eastAsia"/>
      </w:rPr>
    </w:lvl>
  </w:abstractNum>
  <w:abstractNum w:abstractNumId="10">
    <w:nsid w:val="1937C110"/>
    <w:multiLevelType w:val="multilevel"/>
    <w:tmpl w:val="1937C110"/>
    <w:lvl w:ilvl="0">
      <w:start w:val="1"/>
      <w:numFmt w:val="decimal"/>
      <w:suff w:val="nothing"/>
      <w:lvlText w:val="（%1）"/>
      <w:lvlJc w:val="left"/>
      <w:pPr>
        <w:ind w:left="900" w:hanging="420"/>
      </w:pPr>
      <w:rPr>
        <w:rFonts w:ascii="宋体" w:eastAsia="宋体" w:hAnsi="宋体" w:cs="宋体" w:hint="default"/>
        <w:spacing w:val="-1"/>
        <w:w w:val="100"/>
        <w:sz w:val="24"/>
        <w:szCs w:val="24"/>
        <w:lang w:val="zh-CN" w:eastAsia="zh-CN" w:bidi="zh-CN"/>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1">
    <w:nsid w:val="1F1640CF"/>
    <w:multiLevelType w:val="multilevel"/>
    <w:tmpl w:val="1F1640CF"/>
    <w:lvl w:ilvl="0">
      <w:start w:val="1"/>
      <w:numFmt w:val="decimal"/>
      <w:suff w:val="nothing"/>
      <w:lvlText w:val="%1."/>
      <w:lvlJc w:val="left"/>
      <w:pPr>
        <w:ind w:left="1738" w:hanging="420"/>
      </w:pPr>
      <w:rPr>
        <w:rFonts w:hint="default"/>
        <w:b w:val="0"/>
        <w:bCs w:val="0"/>
      </w:rPr>
    </w:lvl>
    <w:lvl w:ilvl="1">
      <w:start w:val="1"/>
      <w:numFmt w:val="lowerLetter"/>
      <w:lvlText w:val="%2)"/>
      <w:lvlJc w:val="left"/>
      <w:pPr>
        <w:ind w:left="2158" w:hanging="420"/>
      </w:pPr>
    </w:lvl>
    <w:lvl w:ilvl="2">
      <w:start w:val="1"/>
      <w:numFmt w:val="lowerRoman"/>
      <w:lvlText w:val="%3."/>
      <w:lvlJc w:val="right"/>
      <w:pPr>
        <w:ind w:left="2578" w:hanging="420"/>
      </w:pPr>
    </w:lvl>
    <w:lvl w:ilvl="3">
      <w:start w:val="1"/>
      <w:numFmt w:val="decimal"/>
      <w:lvlText w:val="%4."/>
      <w:lvlJc w:val="left"/>
      <w:pPr>
        <w:ind w:left="2998" w:hanging="420"/>
      </w:pPr>
    </w:lvl>
    <w:lvl w:ilvl="4">
      <w:start w:val="1"/>
      <w:numFmt w:val="lowerLetter"/>
      <w:lvlText w:val="%5)"/>
      <w:lvlJc w:val="left"/>
      <w:pPr>
        <w:ind w:left="3418" w:hanging="420"/>
      </w:pPr>
    </w:lvl>
    <w:lvl w:ilvl="5">
      <w:start w:val="1"/>
      <w:numFmt w:val="lowerRoman"/>
      <w:lvlText w:val="%6."/>
      <w:lvlJc w:val="right"/>
      <w:pPr>
        <w:ind w:left="3838" w:hanging="420"/>
      </w:pPr>
    </w:lvl>
    <w:lvl w:ilvl="6">
      <w:start w:val="1"/>
      <w:numFmt w:val="decimal"/>
      <w:lvlText w:val="%7."/>
      <w:lvlJc w:val="left"/>
      <w:pPr>
        <w:ind w:left="4258" w:hanging="420"/>
      </w:pPr>
    </w:lvl>
    <w:lvl w:ilvl="7">
      <w:start w:val="1"/>
      <w:numFmt w:val="lowerLetter"/>
      <w:lvlText w:val="%8)"/>
      <w:lvlJc w:val="left"/>
      <w:pPr>
        <w:ind w:left="4678" w:hanging="420"/>
      </w:pPr>
    </w:lvl>
    <w:lvl w:ilvl="8">
      <w:start w:val="1"/>
      <w:numFmt w:val="lowerRoman"/>
      <w:lvlText w:val="%9."/>
      <w:lvlJc w:val="right"/>
      <w:pPr>
        <w:ind w:left="5098" w:hanging="420"/>
      </w:pPr>
    </w:lvl>
  </w:abstractNum>
  <w:abstractNum w:abstractNumId="12">
    <w:nsid w:val="293CFECD"/>
    <w:multiLevelType w:val="singleLevel"/>
    <w:tmpl w:val="293CFECD"/>
    <w:lvl w:ilvl="0">
      <w:start w:val="1"/>
      <w:numFmt w:val="chineseCounting"/>
      <w:suff w:val="nothing"/>
      <w:lvlText w:val="%1、"/>
      <w:lvlJc w:val="left"/>
      <w:rPr>
        <w:rFonts w:hint="eastAsia"/>
      </w:rPr>
    </w:lvl>
  </w:abstractNum>
  <w:abstractNum w:abstractNumId="13">
    <w:nsid w:val="3F8C980B"/>
    <w:multiLevelType w:val="singleLevel"/>
    <w:tmpl w:val="3F8C980B"/>
    <w:lvl w:ilvl="0">
      <w:start w:val="1"/>
      <w:numFmt w:val="decimal"/>
      <w:lvlText w:val="%1."/>
      <w:lvlJc w:val="left"/>
      <w:pPr>
        <w:ind w:left="425" w:hanging="425"/>
      </w:pPr>
      <w:rPr>
        <w:rFonts w:hint="default"/>
      </w:rPr>
    </w:lvl>
  </w:abstractNum>
  <w:abstractNum w:abstractNumId="14">
    <w:nsid w:val="45D8C1BA"/>
    <w:multiLevelType w:val="multilevel"/>
    <w:tmpl w:val="45D8C1BA"/>
    <w:lvl w:ilvl="0">
      <w:start w:val="1"/>
      <w:numFmt w:val="decimal"/>
      <w:suff w:val="nothing"/>
      <w:lvlText w:val="（%1）"/>
      <w:lvlJc w:val="left"/>
      <w:pPr>
        <w:ind w:left="900" w:hanging="420"/>
      </w:pPr>
      <w:rPr>
        <w:rFonts w:ascii="宋体" w:eastAsia="宋体" w:hAnsi="宋体" w:cs="宋体" w:hint="default"/>
        <w:spacing w:val="-1"/>
        <w:w w:val="100"/>
        <w:sz w:val="24"/>
        <w:szCs w:val="24"/>
        <w:lang w:val="zh-CN" w:eastAsia="zh-CN" w:bidi="zh-CN"/>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5">
    <w:nsid w:val="5454D1ED"/>
    <w:multiLevelType w:val="multilevel"/>
    <w:tmpl w:val="5454D1ED"/>
    <w:lvl w:ilvl="0">
      <w:start w:val="1"/>
      <w:numFmt w:val="decimal"/>
      <w:suff w:val="nothing"/>
      <w:lvlText w:val="（%1）"/>
      <w:lvlJc w:val="left"/>
      <w:pPr>
        <w:ind w:left="900" w:hanging="420"/>
      </w:pPr>
      <w:rPr>
        <w:rFonts w:ascii="宋体" w:eastAsia="宋体" w:hAnsi="宋体" w:cs="宋体" w:hint="default"/>
        <w:spacing w:val="-1"/>
        <w:w w:val="100"/>
        <w:sz w:val="24"/>
        <w:szCs w:val="24"/>
        <w:lang w:val="zh-CN" w:eastAsia="zh-CN" w:bidi="zh-CN"/>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6">
    <w:nsid w:val="59420D4D"/>
    <w:multiLevelType w:val="multilevel"/>
    <w:tmpl w:val="59420D4D"/>
    <w:lvl w:ilvl="0">
      <w:start w:val="2"/>
      <w:numFmt w:val="decimal"/>
      <w:pStyle w:val="4-"/>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7">
    <w:nsid w:val="70C37F7F"/>
    <w:multiLevelType w:val="singleLevel"/>
    <w:tmpl w:val="70C37F7F"/>
    <w:lvl w:ilvl="0">
      <w:start w:val="1"/>
      <w:numFmt w:val="chineseCounting"/>
      <w:suff w:val="nothing"/>
      <w:lvlText w:val="%1、"/>
      <w:lvlJc w:val="left"/>
      <w:rPr>
        <w:rFonts w:hint="eastAsia"/>
      </w:rPr>
    </w:lvl>
  </w:abstractNum>
  <w:abstractNum w:abstractNumId="18">
    <w:nsid w:val="738C524E"/>
    <w:multiLevelType w:val="singleLevel"/>
    <w:tmpl w:val="738C524E"/>
    <w:lvl w:ilvl="0">
      <w:start w:val="2"/>
      <w:numFmt w:val="chineseCounting"/>
      <w:suff w:val="nothing"/>
      <w:lvlText w:val="%1、"/>
      <w:lvlJc w:val="left"/>
      <w:rPr>
        <w:rFonts w:hint="eastAsia"/>
      </w:rPr>
    </w:lvl>
  </w:abstractNum>
  <w:abstractNum w:abstractNumId="19">
    <w:nsid w:val="7FC14F90"/>
    <w:multiLevelType w:val="multilevel"/>
    <w:tmpl w:val="7FC14F90"/>
    <w:lvl w:ilvl="0">
      <w:start w:val="1"/>
      <w:numFmt w:val="decimal"/>
      <w:suff w:val="nothing"/>
      <w:lvlText w:val="%1."/>
      <w:lvlJc w:val="left"/>
      <w:pPr>
        <w:ind w:left="0" w:firstLine="1134"/>
      </w:pPr>
      <w:rPr>
        <w:rFonts w:hint="eastAsia"/>
      </w:rPr>
    </w:lvl>
    <w:lvl w:ilvl="1">
      <w:start w:val="1"/>
      <w:numFmt w:val="lowerLetter"/>
      <w:lvlText w:val="%2)"/>
      <w:lvlJc w:val="left"/>
      <w:pPr>
        <w:ind w:left="2158" w:hanging="420"/>
      </w:pPr>
    </w:lvl>
    <w:lvl w:ilvl="2">
      <w:start w:val="1"/>
      <w:numFmt w:val="lowerRoman"/>
      <w:lvlText w:val="%3."/>
      <w:lvlJc w:val="right"/>
      <w:pPr>
        <w:ind w:left="2578" w:hanging="420"/>
      </w:pPr>
    </w:lvl>
    <w:lvl w:ilvl="3">
      <w:start w:val="1"/>
      <w:numFmt w:val="decimal"/>
      <w:lvlText w:val="%4."/>
      <w:lvlJc w:val="left"/>
      <w:pPr>
        <w:ind w:left="2998" w:hanging="420"/>
      </w:pPr>
    </w:lvl>
    <w:lvl w:ilvl="4">
      <w:start w:val="1"/>
      <w:numFmt w:val="lowerLetter"/>
      <w:lvlText w:val="%5)"/>
      <w:lvlJc w:val="left"/>
      <w:pPr>
        <w:ind w:left="3418" w:hanging="420"/>
      </w:pPr>
    </w:lvl>
    <w:lvl w:ilvl="5">
      <w:start w:val="1"/>
      <w:numFmt w:val="lowerRoman"/>
      <w:lvlText w:val="%6."/>
      <w:lvlJc w:val="right"/>
      <w:pPr>
        <w:ind w:left="3838" w:hanging="420"/>
      </w:pPr>
    </w:lvl>
    <w:lvl w:ilvl="6">
      <w:start w:val="1"/>
      <w:numFmt w:val="decimal"/>
      <w:lvlText w:val="%7."/>
      <w:lvlJc w:val="left"/>
      <w:pPr>
        <w:ind w:left="4258" w:hanging="420"/>
      </w:pPr>
    </w:lvl>
    <w:lvl w:ilvl="7">
      <w:start w:val="1"/>
      <w:numFmt w:val="lowerLetter"/>
      <w:lvlText w:val="%8)"/>
      <w:lvlJc w:val="left"/>
      <w:pPr>
        <w:ind w:left="4678" w:hanging="420"/>
      </w:pPr>
    </w:lvl>
    <w:lvl w:ilvl="8">
      <w:start w:val="1"/>
      <w:numFmt w:val="lowerRoman"/>
      <w:lvlText w:val="%9."/>
      <w:lvlJc w:val="right"/>
      <w:pPr>
        <w:ind w:left="5098" w:hanging="420"/>
      </w:pPr>
    </w:lvl>
  </w:abstractNum>
  <w:num w:numId="1">
    <w:abstractNumId w:val="16"/>
  </w:num>
  <w:num w:numId="2">
    <w:abstractNumId w:val="0"/>
  </w:num>
  <w:num w:numId="3">
    <w:abstractNumId w:val="7"/>
  </w:num>
  <w:num w:numId="4">
    <w:abstractNumId w:val="17"/>
  </w:num>
  <w:num w:numId="5">
    <w:abstractNumId w:val="12"/>
  </w:num>
  <w:num w:numId="6">
    <w:abstractNumId w:val="2"/>
  </w:num>
  <w:num w:numId="7">
    <w:abstractNumId w:val="19"/>
  </w:num>
  <w:num w:numId="8">
    <w:abstractNumId w:val="8"/>
  </w:num>
  <w:num w:numId="9">
    <w:abstractNumId w:val="11"/>
  </w:num>
  <w:num w:numId="10">
    <w:abstractNumId w:val="9"/>
  </w:num>
  <w:num w:numId="11">
    <w:abstractNumId w:val="5"/>
  </w:num>
  <w:num w:numId="12">
    <w:abstractNumId w:val="4"/>
  </w:num>
  <w:num w:numId="13">
    <w:abstractNumId w:val="15"/>
  </w:num>
  <w:num w:numId="14">
    <w:abstractNumId w:val="3"/>
  </w:num>
  <w:num w:numId="15">
    <w:abstractNumId w:val="10"/>
  </w:num>
  <w:num w:numId="16">
    <w:abstractNumId w:val="14"/>
  </w:num>
  <w:num w:numId="17">
    <w:abstractNumId w:val="13"/>
  </w:num>
  <w:num w:numId="18">
    <w:abstractNumId w:val="6"/>
  </w:num>
  <w:num w:numId="19">
    <w:abstractNumId w:val="1"/>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zoom w:percent="100"/>
  <w:bordersDoNotSurroundHeader/>
  <w:bordersDoNotSurroundFooter/>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dlNzUxMTUzN2RlODQ3NjM2MzkwYWFkNDZjMjY5MTQifQ=="/>
    <w:docVar w:name="KSO_WPS_MARK_KEY" w:val="211470d0-53f5-40e6-a7f4-b984ba404f40"/>
  </w:docVar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semiHidden="0" w:uiPriority="0" w:qFormat="1"/>
    <w:lsdException w:name="heading 3" w:semiHidden="0" w:uiPriority="0" w:qFormat="1"/>
    <w:lsdException w:name="heading 4" w:uiPriority="9" w:qFormat="1"/>
    <w:lsdException w:name="heading 5" w:uiPriority="9" w:qFormat="1"/>
    <w:lsdException w:name="heading 6" w:semiHidden="0" w:uiPriority="0"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qFormat="1"/>
    <w:lsdException w:name="toc 2" w:semiHidden="0" w:uiPriority="39" w:unhideWhenUsed="0"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semiHidden="0" w:uiPriority="0" w:unhideWhenUsed="0" w:qFormat="1"/>
    <w:lsdException w:name="annotation text"/>
    <w:lsdException w:name="header" w:semiHidden="0" w:qFormat="1"/>
    <w:lsdException w:name="footer" w:semiHidden="0" w:qFormat="1"/>
    <w:lsdException w:name="index heading"/>
    <w:lsdException w:name="caption" w:semiHidden="0" w:uiPriority="0" w:qFormat="1"/>
    <w:lsdException w:name="table of figures"/>
    <w:lsdException w:name="envelope address"/>
    <w:lsdException w:name="envelope return"/>
    <w:lsdException w:name="footnote reference"/>
    <w:lsdException w:name="annotation reference"/>
    <w:lsdException w:name="line number"/>
    <w:lsdException w:name="page number" w:semiHidden="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0" w:unhideWhenUsed="0" w:qFormat="1"/>
    <w:lsdException w:name="Closing"/>
    <w:lsdException w:name="Signature"/>
    <w:lsdException w:name="Default Paragraph Font" w:semiHidden="0" w:uiPriority="1" w:qFormat="1"/>
    <w:lsdException w:name="Body Text" w:semiHidden="0" w:uiPriority="1"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Body Text 2"/>
    <w:lsdException w:name="Body Text 3"/>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Normal (Web)" w:semiHidden="0" w:qFormat="1"/>
    <w:lsdException w:name="HTML Acronym"/>
    <w:lsdException w:name="HTML Address"/>
    <w:lsdException w:name="HTML Cite"/>
    <w:lsdException w:name="HTML Code"/>
    <w:lsdException w:name="HTML Definition"/>
    <w:lsdException w:name="HTML Keyboard"/>
    <w:lsdException w:name="HTML Preformatted" w:qFormat="1"/>
    <w:lsdException w:name="HTML Sample"/>
    <w:lsdException w:name="HTML Typewriter"/>
    <w:lsdException w:name="HTML Variable"/>
    <w:lsdException w:name="Normal Table" w:qFormat="1"/>
    <w:lsdException w:name="annotation subject"/>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39" w:unhideWhenUsed="0" w:qFormat="1"/>
    <w:lsdException w:name="Table Theme"/>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next w:val="FootnoteText"/>
    <w:qFormat/>
    <w:pPr>
      <w:widowControl w:val="0"/>
      <w:jc w:val="both"/>
    </w:pPr>
    <w:rPr>
      <w:rFonts w:asciiTheme="minorHAnsi" w:eastAsiaTheme="minorEastAsia" w:hAnsiTheme="minorHAnsi" w:cstheme="minorBidi"/>
      <w:kern w:val="2"/>
      <w:sz w:val="21"/>
      <w:szCs w:val="22"/>
      <w:lang w:val="en-US" w:eastAsia="zh-CN" w:bidi="ar-SA"/>
    </w:rPr>
  </w:style>
  <w:style w:type="paragraph" w:styleId="Heading1">
    <w:name w:val="heading 1"/>
    <w:basedOn w:val="Normal"/>
    <w:next w:val="Normal"/>
    <w:uiPriority w:val="9"/>
    <w:qFormat/>
    <w:pPr>
      <w:keepNext/>
      <w:keepLines/>
      <w:spacing w:before="340" w:after="330" w:line="576" w:lineRule="auto"/>
      <w:outlineLvl w:val="0"/>
    </w:pPr>
    <w:rPr>
      <w:b/>
      <w:kern w:val="44"/>
      <w:sz w:val="44"/>
    </w:rPr>
  </w:style>
  <w:style w:type="paragraph" w:styleId="Heading2">
    <w:name w:val="heading 2"/>
    <w:basedOn w:val="Normal"/>
    <w:next w:val="Normal"/>
    <w:unhideWhenUsed/>
    <w:qFormat/>
    <w:pPr>
      <w:ind w:left="482"/>
      <w:outlineLvl w:val="1"/>
    </w:pPr>
    <w:rPr>
      <w:rFonts w:ascii="Microsoft JhengHei" w:eastAsia="Microsoft JhengHei" w:hAnsi="Microsoft JhengHei"/>
      <w:b/>
      <w:sz w:val="24"/>
    </w:rPr>
  </w:style>
  <w:style w:type="paragraph" w:styleId="Heading3">
    <w:name w:val="heading 3"/>
    <w:basedOn w:val="Normal"/>
    <w:next w:val="Normal"/>
    <w:unhideWhenUsed/>
    <w:qFormat/>
    <w:pPr>
      <w:keepNext/>
      <w:keepLines/>
      <w:spacing w:before="260" w:after="260" w:line="413" w:lineRule="auto"/>
      <w:outlineLvl w:val="2"/>
    </w:pPr>
    <w:rPr>
      <w:b/>
      <w:sz w:val="32"/>
    </w:rPr>
  </w:style>
  <w:style w:type="paragraph" w:styleId="Heading4">
    <w:name w:val="heading 4"/>
    <w:basedOn w:val="Normal"/>
    <w:next w:val="Normal"/>
    <w:uiPriority w:val="9"/>
    <w:semiHidden/>
    <w:unhideWhenUsed/>
    <w:qFormat/>
    <w:pPr>
      <w:keepNext/>
      <w:keepLines/>
      <w:spacing w:before="280" w:after="290" w:line="372" w:lineRule="auto"/>
      <w:outlineLvl w:val="3"/>
    </w:pPr>
    <w:rPr>
      <w:rFonts w:ascii="Arial" w:eastAsia="黑体" w:hAnsi="Arial"/>
      <w:b/>
      <w:sz w:val="28"/>
    </w:rPr>
  </w:style>
  <w:style w:type="paragraph" w:styleId="Heading6">
    <w:name w:val="heading 6"/>
    <w:basedOn w:val="Normal"/>
    <w:next w:val="Normal"/>
    <w:unhideWhenUsed/>
    <w:qFormat/>
    <w:pPr>
      <w:keepNext/>
      <w:keepLines/>
      <w:spacing w:before="240" w:after="64" w:line="317" w:lineRule="auto"/>
      <w:outlineLvl w:val="5"/>
    </w:pPr>
    <w:rPr>
      <w:rFonts w:ascii="Arial" w:eastAsia="黑体" w:hAnsi="Arial"/>
      <w:b/>
      <w:sz w:val="24"/>
    </w:rPr>
  </w:style>
  <w:style w:type="character" w:default="1" w:styleId="DefaultParagraphFont">
    <w:name w:val="Default Paragraph Font"/>
    <w:uiPriority w:val="1"/>
    <w:unhideWhenUsed/>
    <w:qFormat/>
  </w:style>
  <w:style w:type="table" w:default="1" w:styleId="TableNormal">
    <w:name w:val="Normal Table"/>
    <w:uiPriority w:val="99"/>
    <w:semiHidden/>
    <w:unhideWhenUsed/>
    <w:qFormat/>
    <w:tblPr>
      <w:tblCellMar>
        <w:top w:w="0" w:type="dxa"/>
        <w:left w:w="108" w:type="dxa"/>
        <w:bottom w:w="0" w:type="dxa"/>
        <w:right w:w="108" w:type="dxa"/>
      </w:tblCellMar>
    </w:tblPr>
  </w:style>
  <w:style w:type="paragraph" w:styleId="FootnoteText">
    <w:name w:val="footnote text"/>
    <w:basedOn w:val="Normal"/>
    <w:qFormat/>
    <w:pPr>
      <w:snapToGrid w:val="0"/>
      <w:jc w:val="left"/>
    </w:pPr>
    <w:rPr>
      <w:sz w:val="18"/>
      <w:szCs w:val="24"/>
    </w:rPr>
  </w:style>
  <w:style w:type="paragraph" w:styleId="Caption">
    <w:name w:val="caption"/>
    <w:basedOn w:val="Normal"/>
    <w:next w:val="Normal"/>
    <w:unhideWhenUsed/>
    <w:qFormat/>
    <w:rPr>
      <w:rFonts w:ascii="Cambria" w:eastAsia="黑体" w:hAnsi="Cambria" w:cs="Times New Roman"/>
      <w:sz w:val="20"/>
      <w:szCs w:val="20"/>
    </w:rPr>
  </w:style>
  <w:style w:type="paragraph" w:styleId="BodyText">
    <w:name w:val="Body Text"/>
    <w:basedOn w:val="Normal"/>
    <w:uiPriority w:val="1"/>
    <w:qFormat/>
    <w:pPr>
      <w:autoSpaceDE w:val="0"/>
      <w:autoSpaceDN w:val="0"/>
      <w:jc w:val="left"/>
    </w:pPr>
    <w:rPr>
      <w:rFonts w:ascii="宋体" w:hAnsi="宋体" w:cs="宋体"/>
      <w:kern w:val="0"/>
      <w:sz w:val="24"/>
      <w:szCs w:val="24"/>
      <w:lang w:val="zh-CN" w:bidi="zh-CN"/>
    </w:rPr>
  </w:style>
  <w:style w:type="paragraph" w:styleId="TOC3">
    <w:name w:val="toc 3"/>
    <w:basedOn w:val="Normal"/>
    <w:next w:val="Normal"/>
    <w:uiPriority w:val="39"/>
    <w:unhideWhenUsed/>
    <w:qFormat/>
    <w:pPr>
      <w:ind w:left="840" w:leftChars="400"/>
    </w:pPr>
  </w:style>
  <w:style w:type="paragraph" w:styleId="Footer">
    <w:name w:val="footer"/>
    <w:basedOn w:val="Normal"/>
    <w:link w:val="a0"/>
    <w:uiPriority w:val="99"/>
    <w:unhideWhenUsed/>
    <w:qFormat/>
    <w:pPr>
      <w:tabs>
        <w:tab w:val="center" w:pos="4153"/>
        <w:tab w:val="right" w:pos="8306"/>
      </w:tabs>
      <w:snapToGrid w:val="0"/>
      <w:jc w:val="left"/>
    </w:pPr>
    <w:rPr>
      <w:sz w:val="18"/>
      <w:szCs w:val="18"/>
    </w:rPr>
  </w:style>
  <w:style w:type="paragraph" w:styleId="Header">
    <w:name w:val="header"/>
    <w:basedOn w:val="Normal"/>
    <w:link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semiHidden/>
    <w:unhideWhenUsed/>
    <w:qFormat/>
  </w:style>
  <w:style w:type="paragraph" w:styleId="TOC2">
    <w:name w:val="toc 2"/>
    <w:basedOn w:val="Normal"/>
    <w:next w:val="Normal"/>
    <w:uiPriority w:val="39"/>
    <w:qFormat/>
    <w:pPr>
      <w:ind w:left="210"/>
      <w:jc w:val="left"/>
    </w:pPr>
    <w:rPr>
      <w:rFonts w:ascii="Calibri" w:eastAsia="宋体" w:hAnsi="Calibri" w:cs="Calibri"/>
      <w:smallCaps/>
      <w:sz w:val="20"/>
      <w:szCs w:val="20"/>
    </w:rPr>
  </w:style>
  <w:style w:type="paragraph" w:styleId="HTMLPreformatted">
    <w:name w:val="HTML Preformatted"/>
    <w:basedOn w:val="Normal"/>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hint="eastAsia"/>
      <w:kern w:val="0"/>
      <w:sz w:val="24"/>
      <w:szCs w:val="24"/>
    </w:rPr>
  </w:style>
  <w:style w:type="paragraph" w:styleId="NormalWeb">
    <w:name w:val="Normal (Web)"/>
    <w:basedOn w:val="Normal"/>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Title">
    <w:name w:val="Title"/>
    <w:basedOn w:val="Normal"/>
    <w:qFormat/>
    <w:pPr>
      <w:spacing w:before="240" w:after="60"/>
      <w:jc w:val="center"/>
      <w:outlineLvl w:val="0"/>
    </w:pPr>
    <w:rPr>
      <w:rFonts w:ascii="Arial" w:hAnsi="Arial" w:cs="Arial"/>
      <w:b/>
      <w:bCs/>
      <w:sz w:val="32"/>
      <w:szCs w:val="32"/>
    </w:rPr>
  </w:style>
  <w:style w:type="table" w:styleId="TableGrid">
    <w:name w:val="Table Grid"/>
    <w:basedOn w:val="TableNormal"/>
    <w:uiPriority w:val="39"/>
    <w:qFormat/>
    <w:pPr>
      <w:widowControl w:val="0"/>
      <w:spacing w:line="360" w:lineRule="auto"/>
      <w:ind w:firstLine="480" w:firstLineChars="20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b/>
      <w:bCs/>
    </w:rPr>
  </w:style>
  <w:style w:type="character" w:styleId="PageNumber">
    <w:name w:val="page number"/>
    <w:basedOn w:val="DefaultParagraphFont"/>
    <w:uiPriority w:val="99"/>
    <w:qFormat/>
  </w:style>
  <w:style w:type="character" w:styleId="Emphasis">
    <w:name w:val="Emphasis"/>
    <w:basedOn w:val="DefaultParagraphFont"/>
    <w:uiPriority w:val="20"/>
    <w:qFormat/>
    <w:rPr>
      <w:i/>
    </w:rPr>
  </w:style>
  <w:style w:type="character" w:styleId="Hyperlink">
    <w:name w:val="Hyperlink"/>
    <w:basedOn w:val="DefaultParagraphFont"/>
    <w:uiPriority w:val="99"/>
    <w:unhideWhenUsed/>
    <w:qFormat/>
    <w:rPr>
      <w:color w:val="0000FF"/>
      <w:u w:val="single"/>
    </w:rPr>
  </w:style>
  <w:style w:type="paragraph" w:styleId="ListParagraph">
    <w:name w:val="List Paragraph"/>
    <w:basedOn w:val="Normal"/>
    <w:uiPriority w:val="34"/>
    <w:qFormat/>
    <w:pPr>
      <w:ind w:firstLine="420" w:firstLineChars="200"/>
    </w:pPr>
  </w:style>
  <w:style w:type="character" w:customStyle="1" w:styleId="a">
    <w:name w:val="页眉 字符"/>
    <w:basedOn w:val="DefaultParagraphFont"/>
    <w:link w:val="Header"/>
    <w:uiPriority w:val="99"/>
    <w:qFormat/>
    <w:rPr>
      <w:sz w:val="18"/>
      <w:szCs w:val="18"/>
    </w:rPr>
  </w:style>
  <w:style w:type="character" w:customStyle="1" w:styleId="a0">
    <w:name w:val="页脚 字符"/>
    <w:basedOn w:val="DefaultParagraphFont"/>
    <w:link w:val="Footer"/>
    <w:uiPriority w:val="99"/>
    <w:qFormat/>
    <w:rPr>
      <w:sz w:val="18"/>
      <w:szCs w:val="18"/>
    </w:rPr>
  </w:style>
  <w:style w:type="paragraph" w:customStyle="1" w:styleId="4-">
    <w:name w:val="表4-"/>
    <w:basedOn w:val="Normal"/>
    <w:qFormat/>
    <w:pPr>
      <w:numPr>
        <w:ilvl w:val="0"/>
        <w:numId w:val="1"/>
      </w:numPr>
      <w:tabs>
        <w:tab w:val="left" w:pos="1021"/>
      </w:tabs>
      <w:ind w:firstLine="0"/>
      <w:jc w:val="center"/>
    </w:pPr>
    <w:rPr>
      <w:rFonts w:ascii="仿宋" w:eastAsia="仿宋" w:hAnsi="仿宋" w:cs="Times New Roman"/>
      <w:color w:val="000000"/>
      <w:sz w:val="20"/>
      <w:szCs w:val="20"/>
    </w:rPr>
  </w:style>
  <w:style w:type="paragraph" w:customStyle="1" w:styleId="1">
    <w:name w:val="列出段落1"/>
    <w:basedOn w:val="Normal"/>
    <w:uiPriority w:val="34"/>
    <w:qFormat/>
    <w:pPr>
      <w:ind w:firstLine="420"/>
    </w:pPr>
    <w:rPr>
      <w:rFonts w:ascii="Calibri" w:hAnsi="Calibri"/>
    </w:rPr>
  </w:style>
  <w:style w:type="paragraph" w:customStyle="1" w:styleId="Body">
    <w:name w:val="Body正文"/>
    <w:basedOn w:val="Normal"/>
    <w:qFormat/>
    <w:pPr>
      <w:spacing w:after="240" w:line="360" w:lineRule="auto"/>
      <w:ind w:right="238"/>
      <w:contextualSpacing/>
      <w:textAlignment w:val="baseline"/>
    </w:pPr>
    <w:rPr>
      <w:rFonts w:ascii="Times New Roman" w:eastAsia="宋体" w:hAnsi="Times New Roman" w:cs="Times New Roman"/>
      <w:color w:val="000000"/>
      <w:kern w:val="0"/>
      <w:sz w:val="24"/>
      <w:szCs w:val="28"/>
    </w:rPr>
  </w:style>
  <w:style w:type="paragraph" w:customStyle="1" w:styleId="a1">
    <w:name w:val="可研正文"/>
    <w:basedOn w:val="a2"/>
    <w:qFormat/>
    <w:pPr>
      <w:snapToGrid w:val="0"/>
      <w:spacing w:before="100" w:line="360" w:lineRule="auto"/>
      <w:ind w:firstLine="480"/>
    </w:pPr>
    <w:rPr>
      <w:rFonts w:ascii="宋体" w:hAnsi="宋体"/>
      <w:sz w:val="24"/>
      <w:szCs w:val="24"/>
    </w:rPr>
  </w:style>
  <w:style w:type="paragraph" w:customStyle="1" w:styleId="a2">
    <w:name w:val="文档正文"/>
    <w:basedOn w:val="Normal"/>
    <w:qFormat/>
    <w:pPr>
      <w:adjustRightInd w:val="0"/>
      <w:spacing w:line="480" w:lineRule="atLeast"/>
      <w:ind w:firstLine="567"/>
      <w:textAlignment w:val="baseline"/>
    </w:pPr>
    <w:rPr>
      <w:rFonts w:ascii="长城仿宋"/>
      <w:kern w:val="0"/>
      <w:sz w:val="28"/>
    </w:rPr>
  </w:style>
  <w:style w:type="character" w:customStyle="1" w:styleId="e61q5r8t660">
    <w:name w:val="e61q5r8t660"/>
    <w:basedOn w:val="DefaultParagraphFont"/>
    <w:qFormat/>
  </w:style>
  <w:style w:type="character" w:customStyle="1" w:styleId="ul8czct4mdj">
    <w:name w:val="ul8czct4mdj"/>
    <w:basedOn w:val="DefaultParagraphFont"/>
    <w:qFormat/>
  </w:style>
  <w:style w:type="character" w:customStyle="1" w:styleId="fs9xgk5wc0a">
    <w:name w:val="fs9xgk5wc0a"/>
    <w:basedOn w:val="DefaultParagraphFont"/>
    <w:qFormat/>
  </w:style>
  <w:style w:type="character" w:customStyle="1" w:styleId="di5n5yg8jqx">
    <w:name w:val="di5n5yg8jqx"/>
    <w:basedOn w:val="DefaultParagraphFont"/>
    <w:qFormat/>
  </w:style>
  <w:style w:type="character" w:customStyle="1" w:styleId="agoo5q9xl38">
    <w:name w:val="agoo5q9xl38"/>
    <w:basedOn w:val="DefaultParagraphFont"/>
    <w:qFormat/>
  </w:style>
  <w:style w:type="character" w:customStyle="1" w:styleId="q2x0bto96jq">
    <w:name w:val="q2x0bto96jq"/>
    <w:basedOn w:val="DefaultParagraphFont"/>
    <w:qFormat/>
  </w:style>
  <w:style w:type="character" w:customStyle="1" w:styleId="fnxuls44um2">
    <w:name w:val="fnxuls44um2"/>
    <w:basedOn w:val="DefaultParagraphFont"/>
    <w:qFormat/>
  </w:style>
  <w:style w:type="character" w:customStyle="1" w:styleId="o3ztbmydvgk">
    <w:name w:val="o3ztbmydvgk"/>
    <w:basedOn w:val="DefaultParagraphFont"/>
    <w:qFormat/>
  </w:style>
  <w:style w:type="paragraph" w:customStyle="1" w:styleId="TOC10">
    <w:name w:val="TOC 标题1"/>
    <w:basedOn w:val="Heading1"/>
    <w:next w:val="Normal"/>
    <w:uiPriority w:val="39"/>
    <w:semiHidden/>
    <w:unhideWhenUsed/>
    <w:qFormat/>
    <w:pPr>
      <w:widowControl/>
      <w:spacing w:before="480" w:after="0" w:line="276" w:lineRule="auto"/>
      <w:jc w:val="left"/>
      <w:outlineLvl w:val="9"/>
    </w:pPr>
    <w:rPr>
      <w:rFonts w:asciiTheme="majorHAnsi" w:eastAsiaTheme="majorEastAsia" w:hAnsiTheme="majorHAnsi" w:cstheme="majorBidi"/>
      <w:color w:val="2E75B6" w:themeColor="accent1" w:themeShade="BF"/>
      <w:kern w:val="0"/>
      <w:sz w:val="28"/>
      <w:szCs w:val="28"/>
    </w:rPr>
  </w:style>
  <w:style w:type="paragraph" w:customStyle="1" w:styleId="a3">
    <w:name w:val="图片居中"/>
    <w:basedOn w:val="Normal"/>
    <w:qFormat/>
    <w:pPr>
      <w:spacing w:line="360" w:lineRule="auto"/>
      <w:jc w:val="center"/>
    </w:pPr>
    <w:rPr>
      <w:rFonts w:ascii="Times New Roman" w:eastAsia="宋体" w:hAnsi="Times New Roman" w:cs="宋体"/>
      <w:sz w:val="24"/>
      <w:szCs w:val="20"/>
    </w:rPr>
  </w:style>
  <w:style w:type="character" w:customStyle="1" w:styleId="apple-converted-space">
    <w:name w:val="apple-converted-space"/>
    <w:basedOn w:val="DefaultParagraphFont"/>
    <w:qFormat/>
  </w:style>
  <w:style w:type="paragraph" w:customStyle="1" w:styleId="a4">
    <w:name w:val="题目"/>
    <w:basedOn w:val="Title"/>
    <w:next w:val="BodyText"/>
    <w:qFormat/>
    <w:pPr>
      <w:widowControl/>
      <w:spacing w:before="31" w:after="31" w:line="600" w:lineRule="exact"/>
      <w:ind w:left="-158" w:leftChars="-75"/>
      <w:outlineLvl w:val="9"/>
    </w:pPr>
    <w:rPr>
      <w:rFonts w:ascii="Times New Roman" w:eastAsia="黑体" w:hAnsi="Times New Roman"/>
      <w:b w:val="0"/>
    </w:rPr>
  </w:style>
  <w:style w:type="character" w:customStyle="1" w:styleId="font21">
    <w:name w:val="font21"/>
    <w:basedOn w:val="DefaultParagraphFont"/>
    <w:qFormat/>
    <w:rPr>
      <w:rFonts w:ascii="微软雅黑" w:eastAsia="微软雅黑" w:hAnsi="微软雅黑" w:cs="微软雅黑" w:hint="eastAsia"/>
      <w:b/>
      <w:bCs/>
      <w:color w:val="000000"/>
      <w:sz w:val="18"/>
      <w:szCs w:val="18"/>
      <w:u w:val="none"/>
    </w:rPr>
  </w:style>
  <w:style w:type="character" w:customStyle="1" w:styleId="font71">
    <w:name w:val="font71"/>
    <w:basedOn w:val="DefaultParagraphFont"/>
    <w:qFormat/>
    <w:rPr>
      <w:rFonts w:ascii="宋体" w:eastAsia="宋体" w:hAnsi="宋体" w:cs="宋体"/>
      <w:b/>
      <w:bCs/>
      <w:color w:val="000000"/>
      <w:sz w:val="18"/>
      <w:szCs w:val="18"/>
      <w:u w:val="none"/>
    </w:rPr>
  </w:style>
  <w:style w:type="paragraph" w:customStyle="1" w:styleId="Default">
    <w:name w:val="Default"/>
    <w:qFormat/>
    <w:pPr>
      <w:widowControl w:val="0"/>
      <w:autoSpaceDE w:val="0"/>
      <w:autoSpaceDN w:val="0"/>
      <w:adjustRightInd w:val="0"/>
      <w:spacing w:line="360" w:lineRule="auto"/>
      <w:ind w:hanging="567" w:hangingChars="236"/>
      <w:jc w:val="both"/>
    </w:pPr>
    <w:rPr>
      <w:rFonts w:ascii="宋体" w:eastAsia="宋体" w:hAnsi="Times New Roman" w:cs="宋体"/>
      <w:color w:val="000000"/>
      <w:sz w:val="24"/>
      <w:szCs w:val="24"/>
      <w:lang w:val="en-US"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eader" Target="header3.xml" /><Relationship Id="rId11" Type="http://schemas.openxmlformats.org/officeDocument/2006/relationships/footer" Target="footer3.xml" /><Relationship Id="rId12" Type="http://schemas.openxmlformats.org/officeDocument/2006/relationships/image" Target="media/image2.jpeg" /><Relationship Id="rId13" Type="http://schemas.openxmlformats.org/officeDocument/2006/relationships/image" Target="media/image3.png" /><Relationship Id="rId14" Type="http://schemas.openxmlformats.org/officeDocument/2006/relationships/header" Target="header4.xml" /><Relationship Id="rId15" Type="http://schemas.openxmlformats.org/officeDocument/2006/relationships/header" Target="header5.xml" /><Relationship Id="rId16" Type="http://schemas.openxmlformats.org/officeDocument/2006/relationships/footer" Target="footer4.xml" /><Relationship Id="rId17" Type="http://schemas.openxmlformats.org/officeDocument/2006/relationships/footer" Target="footer5.xml" /><Relationship Id="rId18" Type="http://schemas.openxmlformats.org/officeDocument/2006/relationships/footer" Target="footer6.xml" /><Relationship Id="rId19" Type="http://schemas.openxmlformats.org/officeDocument/2006/relationships/header" Target="header6.xml" /><Relationship Id="rId2" Type="http://schemas.openxmlformats.org/officeDocument/2006/relationships/webSettings" Target="webSettings.xml" /><Relationship Id="rId20" Type="http://schemas.openxmlformats.org/officeDocument/2006/relationships/footer" Target="footer7.xml" /><Relationship Id="rId21" Type="http://schemas.openxmlformats.org/officeDocument/2006/relationships/image" Target="media/image4.png" /><Relationship Id="rId22" Type="http://schemas.openxmlformats.org/officeDocument/2006/relationships/image" Target="media/image5.jpeg" /><Relationship Id="rId23" Type="http://schemas.openxmlformats.org/officeDocument/2006/relationships/image" Target="media/image6.png" /><Relationship Id="rId24" Type="http://schemas.openxmlformats.org/officeDocument/2006/relationships/image" Target="media/image7.png" /><Relationship Id="rId25" Type="http://schemas.openxmlformats.org/officeDocument/2006/relationships/image" Target="media/image8.png" /><Relationship Id="rId26" Type="http://schemas.openxmlformats.org/officeDocument/2006/relationships/image" Target="media/image9.jpeg" /><Relationship Id="rId27" Type="http://schemas.openxmlformats.org/officeDocument/2006/relationships/image" Target="media/image10.jpeg" /><Relationship Id="rId28" Type="http://schemas.openxmlformats.org/officeDocument/2006/relationships/image" Target="media/image11.jpeg" /><Relationship Id="rId29" Type="http://schemas.openxmlformats.org/officeDocument/2006/relationships/image" Target="media/image12.jpeg" /><Relationship Id="rId3" Type="http://schemas.openxmlformats.org/officeDocument/2006/relationships/fontTable" Target="fontTable.xml" /><Relationship Id="rId30" Type="http://schemas.openxmlformats.org/officeDocument/2006/relationships/image" Target="media/image13.jpeg" /><Relationship Id="rId31" Type="http://schemas.openxmlformats.org/officeDocument/2006/relationships/image" Target="media/image14.png" /><Relationship Id="rId32" Type="http://schemas.openxmlformats.org/officeDocument/2006/relationships/image" Target="media/image15.png" /><Relationship Id="rId33" Type="http://schemas.openxmlformats.org/officeDocument/2006/relationships/image" Target="media/image16.png" /><Relationship Id="rId34" Type="http://schemas.openxmlformats.org/officeDocument/2006/relationships/image" Target="media/image17.png" /><Relationship Id="rId35" Type="http://schemas.openxmlformats.org/officeDocument/2006/relationships/image" Target="media/image18.jpeg" /><Relationship Id="rId36" Type="http://schemas.openxmlformats.org/officeDocument/2006/relationships/image" Target="media/image19.png" /><Relationship Id="rId37" Type="http://schemas.openxmlformats.org/officeDocument/2006/relationships/image" Target="media/image20.png" /><Relationship Id="rId38" Type="http://schemas.openxmlformats.org/officeDocument/2006/relationships/image" Target="media/image21.png" /><Relationship Id="rId39" Type="http://schemas.openxmlformats.org/officeDocument/2006/relationships/image" Target="media/image22.png" /><Relationship Id="rId4" Type="http://schemas.openxmlformats.org/officeDocument/2006/relationships/customXml" Target="../customXml/item1.xml" /><Relationship Id="rId40" Type="http://schemas.openxmlformats.org/officeDocument/2006/relationships/image" Target="media/image23.png" /><Relationship Id="rId41" Type="http://schemas.openxmlformats.org/officeDocument/2006/relationships/image" Target="media/image24.png" /><Relationship Id="rId42" Type="http://schemas.openxmlformats.org/officeDocument/2006/relationships/image" Target="media/image25.png" /><Relationship Id="rId43" Type="http://schemas.openxmlformats.org/officeDocument/2006/relationships/image" Target="media/image26.png" /><Relationship Id="rId44" Type="http://schemas.openxmlformats.org/officeDocument/2006/relationships/image" Target="media/image27.png" /><Relationship Id="rId45" Type="http://schemas.openxmlformats.org/officeDocument/2006/relationships/image" Target="media/image28.png" /><Relationship Id="rId46" Type="http://schemas.openxmlformats.org/officeDocument/2006/relationships/image" Target="media/image29.png" /><Relationship Id="rId47" Type="http://schemas.openxmlformats.org/officeDocument/2006/relationships/image" Target="media/image30.png" /><Relationship Id="rId48" Type="http://schemas.openxmlformats.org/officeDocument/2006/relationships/image" Target="media/image31.png" /><Relationship Id="rId49" Type="http://schemas.openxmlformats.org/officeDocument/2006/relationships/image" Target="media/image32.png" /><Relationship Id="rId5" Type="http://schemas.openxmlformats.org/officeDocument/2006/relationships/image" Target="media/image1.jpeg" /><Relationship Id="rId50" Type="http://schemas.openxmlformats.org/officeDocument/2006/relationships/image" Target="media/image33.png" /><Relationship Id="rId51" Type="http://schemas.openxmlformats.org/officeDocument/2006/relationships/image" Target="media/image34.png" /><Relationship Id="rId52" Type="http://schemas.openxmlformats.org/officeDocument/2006/relationships/image" Target="media/image35.png" /><Relationship Id="rId53" Type="http://schemas.openxmlformats.org/officeDocument/2006/relationships/image" Target="media/image36.png" /><Relationship Id="rId54" Type="http://schemas.openxmlformats.org/officeDocument/2006/relationships/image" Target="media/image37.png" /><Relationship Id="rId55" Type="http://schemas.openxmlformats.org/officeDocument/2006/relationships/image" Target="media/image38.png" /><Relationship Id="rId56" Type="http://schemas.openxmlformats.org/officeDocument/2006/relationships/image" Target="media/image39.png" /><Relationship Id="rId57" Type="http://schemas.openxmlformats.org/officeDocument/2006/relationships/image" Target="media/image40.png" /><Relationship Id="rId58" Type="http://schemas.openxmlformats.org/officeDocument/2006/relationships/image" Target="media/image41.png" /><Relationship Id="rId59" Type="http://schemas.openxmlformats.org/officeDocument/2006/relationships/image" Target="media/image42.png" /><Relationship Id="rId6" Type="http://schemas.openxmlformats.org/officeDocument/2006/relationships/header" Target="header1.xml" /><Relationship Id="rId60" Type="http://schemas.openxmlformats.org/officeDocument/2006/relationships/image" Target="media/image43.png" /><Relationship Id="rId61" Type="http://schemas.openxmlformats.org/officeDocument/2006/relationships/image" Target="media/image44.png" /><Relationship Id="rId62" Type="http://schemas.openxmlformats.org/officeDocument/2006/relationships/image" Target="media/image45.emf" /><Relationship Id="rId63" Type="http://schemas.openxmlformats.org/officeDocument/2006/relationships/image" Target="media/image46.jpeg" /><Relationship Id="rId64" Type="http://schemas.openxmlformats.org/officeDocument/2006/relationships/image" Target="media/image47.jpeg" /><Relationship Id="rId65" Type="http://schemas.openxmlformats.org/officeDocument/2006/relationships/image" Target="media/image48.jpeg" /><Relationship Id="rId66" Type="http://schemas.openxmlformats.org/officeDocument/2006/relationships/image" Target="media/image49.jpeg" /><Relationship Id="rId67" Type="http://schemas.openxmlformats.org/officeDocument/2006/relationships/image" Target="media/image50.emf" /><Relationship Id="rId68" Type="http://schemas.openxmlformats.org/officeDocument/2006/relationships/image" Target="media/image51.emf" /><Relationship Id="rId69" Type="http://schemas.openxmlformats.org/officeDocument/2006/relationships/image" Target="media/image52.jpeg" /><Relationship Id="rId7" Type="http://schemas.openxmlformats.org/officeDocument/2006/relationships/header" Target="header2.xml" /><Relationship Id="rId70" Type="http://schemas.openxmlformats.org/officeDocument/2006/relationships/image" Target="media/image53.png" /><Relationship Id="rId71" Type="http://schemas.openxmlformats.org/officeDocument/2006/relationships/image" Target="media/image54.emf" /><Relationship Id="rId72" Type="http://schemas.openxmlformats.org/officeDocument/2006/relationships/image" Target="media/image55.png" /><Relationship Id="rId73" Type="http://schemas.openxmlformats.org/officeDocument/2006/relationships/image" Target="media/image56.png" /><Relationship Id="rId74" Type="http://schemas.openxmlformats.org/officeDocument/2006/relationships/image" Target="media/image57.png" /><Relationship Id="rId75" Type="http://schemas.openxmlformats.org/officeDocument/2006/relationships/image" Target="media/image58.png" /><Relationship Id="rId76" Type="http://schemas.openxmlformats.org/officeDocument/2006/relationships/image" Target="media/image59.png" /><Relationship Id="rId77" Type="http://schemas.openxmlformats.org/officeDocument/2006/relationships/image" Target="media/image60.jpeg" /><Relationship Id="rId78" Type="http://schemas.openxmlformats.org/officeDocument/2006/relationships/header" Target="header7.xml" /><Relationship Id="rId79" Type="http://schemas.openxmlformats.org/officeDocument/2006/relationships/footer" Target="footer8.xml" /><Relationship Id="rId8" Type="http://schemas.openxmlformats.org/officeDocument/2006/relationships/footer" Target="footer1.xml" /><Relationship Id="rId80" Type="http://schemas.openxmlformats.org/officeDocument/2006/relationships/theme" Target="theme/theme1.xml" /><Relationship Id="rId81" Type="http://schemas.openxmlformats.org/officeDocument/2006/relationships/numbering" Target="numbering.xml" /><Relationship Id="rId82" Type="http://schemas.openxmlformats.org/officeDocument/2006/relationships/styles" Target="styles.xml" /><Relationship Id="rId9" Type="http://schemas.openxmlformats.org/officeDocument/2006/relationships/footer" Target="footer2.xml"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70132</Words>
  <Characters>74879</Characters>
  <Application>Microsoft Office Word</Application>
  <DocSecurity>0</DocSecurity>
  <Lines>598</Lines>
  <Paragraphs>168</Paragraphs>
  <ScaleCrop>false</ScaleCrop>
  <Company>Microsoft</Company>
  <LinksUpToDate>false</LinksUpToDate>
  <CharactersWithSpaces>76162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黄克宁</dc:creator>
  <cp:lastModifiedBy>Sissy.Leung</cp:lastModifiedBy>
  <cp:revision>96</cp:revision>
  <dcterms:created xsi:type="dcterms:W3CDTF">2023-12-12T03:17:00Z</dcterms:created>
  <dcterms:modified xsi:type="dcterms:W3CDTF">2024-09-06T02:06:12Z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2206B8D493334FA6904DBE61CAD70208_13</vt:lpwstr>
  </property>
  <property fmtid="{D5CDD505-2E9C-101B-9397-08002B2CF9AE}" pid="3" name="KSOProductBuildVer">
    <vt:lpwstr>2052-11.1.0.11830</vt:lpwstr>
  </property>
</Properties>
</file>